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lang w:val="es-CR"/>
        </w:rPr>
        <w:id w:val="-1407145552"/>
        <w:docPartObj>
          <w:docPartGallery w:val="Cover Pages"/>
          <w:docPartUnique/>
        </w:docPartObj>
      </w:sdtPr>
      <w:sdtEndPr>
        <w:rPr>
          <w:sz w:val="2"/>
          <w:szCs w:val="6"/>
        </w:rPr>
      </w:sdtEndPr>
      <w:sdtContent>
        <w:tbl>
          <w:tblPr>
            <w:tblStyle w:val="Tablaconcuadrcula"/>
            <w:tblW w:w="5000" w:type="pct"/>
            <w:tblCellMar>
              <w:left w:w="0" w:type="dxa"/>
              <w:right w:w="0" w:type="dxa"/>
            </w:tblCellMar>
            <w:tblLook w:val="04A0" w:firstRow="1" w:lastRow="0" w:firstColumn="1" w:lastColumn="0" w:noHBand="0" w:noVBand="1"/>
          </w:tblPr>
          <w:tblGrid>
            <w:gridCol w:w="10082"/>
          </w:tblGrid>
          <w:tr w:rsidR="00E90F6E" w:rsidRPr="001221DF" w14:paraId="72245433" w14:textId="77777777" w:rsidTr="000C1DF1">
            <w:trPr>
              <w:trHeight w:hRule="exact" w:val="9639"/>
            </w:trPr>
            <w:tc>
              <w:tcPr>
                <w:tcW w:w="5000" w:type="pct"/>
                <w:vAlign w:val="center"/>
              </w:tcPr>
              <w:p w14:paraId="648C36EF" w14:textId="7EF83235" w:rsidR="00E90F6E" w:rsidRPr="001221DF" w:rsidRDefault="00830995" w:rsidP="000C1DF1">
                <w:pPr>
                  <w:jc w:val="center"/>
                  <w:rPr>
                    <w:rFonts w:cstheme="minorHAnsi"/>
                    <w:lang w:val="es-CR"/>
                  </w:rPr>
                </w:pPr>
                <w:r w:rsidRPr="001221DF">
                  <w:rPr>
                    <w:rFonts w:cstheme="minorHAnsi"/>
                    <w:noProof/>
                    <w:lang w:val="es-CR"/>
                  </w:rPr>
                  <w:drawing>
                    <wp:inline distT="0" distB="0" distL="0" distR="0" wp14:anchorId="461D64A9" wp14:editId="3C9760FA">
                      <wp:extent cx="5156200" cy="51562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200" cy="5156200"/>
                              </a:xfrm>
                              <a:prstGeom prst="rect">
                                <a:avLst/>
                              </a:prstGeom>
                              <a:noFill/>
                              <a:ln>
                                <a:noFill/>
                              </a:ln>
                            </pic:spPr>
                          </pic:pic>
                        </a:graphicData>
                      </a:graphic>
                    </wp:inline>
                  </w:drawing>
                </w:r>
              </w:p>
            </w:tc>
          </w:tr>
        </w:tbl>
        <w:p w14:paraId="76BF1F83" w14:textId="3799FCC9" w:rsidR="00E90F6E" w:rsidRPr="001221DF" w:rsidRDefault="00A06B6E" w:rsidP="00E90F6E">
          <w:pPr>
            <w:spacing w:after="0" w:line="240" w:lineRule="auto"/>
            <w:rPr>
              <w:rFonts w:cstheme="minorHAnsi"/>
              <w:color w:val="FFFFFF" w:themeColor="background1"/>
              <w:lang w:val="es-CR"/>
            </w:rPr>
          </w:pPr>
          <w:r>
            <w:rPr>
              <w:rFonts w:eastAsia="Times New Roman" w:cstheme="minorHAnsi"/>
              <w:noProof/>
              <w:lang w:eastAsia="es-DO"/>
            </w:rPr>
            <mc:AlternateContent>
              <mc:Choice Requires="wps">
                <w:drawing>
                  <wp:anchor distT="0" distB="0" distL="114300" distR="114300" simplePos="0" relativeHeight="251666432" behindDoc="0" locked="0" layoutInCell="1" allowOverlap="1" wp14:anchorId="29836A8F" wp14:editId="40338B1C">
                    <wp:simplePos x="0" y="0"/>
                    <wp:positionH relativeFrom="column">
                      <wp:posOffset>-357187</wp:posOffset>
                    </wp:positionH>
                    <wp:positionV relativeFrom="paragraph">
                      <wp:posOffset>-6987223</wp:posOffset>
                    </wp:positionV>
                    <wp:extent cx="2166937" cy="566737"/>
                    <wp:effectExtent l="0" t="0" r="5080" b="5080"/>
                    <wp:wrapNone/>
                    <wp:docPr id="2" name="Text Box 2"/>
                    <wp:cNvGraphicFramePr/>
                    <a:graphic xmlns:a="http://schemas.openxmlformats.org/drawingml/2006/main">
                      <a:graphicData uri="http://schemas.microsoft.com/office/word/2010/wordprocessingShape">
                        <wps:wsp>
                          <wps:cNvSpPr txBox="1"/>
                          <wps:spPr>
                            <a:xfrm>
                              <a:off x="0" y="0"/>
                              <a:ext cx="2166937" cy="566737"/>
                            </a:xfrm>
                            <a:prstGeom prst="rect">
                              <a:avLst/>
                            </a:prstGeom>
                            <a:solidFill>
                              <a:schemeClr val="bg1"/>
                            </a:solidFill>
                          </wps:spPr>
                          <wps:txbx>
                            <w:txbxContent>
                              <w:p w14:paraId="313CBCBA" w14:textId="77777777" w:rsidR="00A06B6E" w:rsidRDefault="00A06B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836A8F" id="_x0000_t202" coordsize="21600,21600" o:spt="202" path="m,l,21600r21600,l21600,xe">
                    <v:stroke joinstyle="miter"/>
                    <v:path gradientshapeok="t" o:connecttype="rect"/>
                  </v:shapetype>
                  <v:shape id="Text Box 2" o:spid="_x0000_s1026" type="#_x0000_t202" style="position:absolute;margin-left:-28.1pt;margin-top:-550.2pt;width:170.6pt;height:4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" fillcolor="white [3212]" stroked="f">
                    <v:textbox inset="0,0,0,0">
                      <w:txbxContent>
                        <w:p w14:paraId="313CBCBA" w14:textId="77777777" w:rsidR="00A06B6E" w:rsidRDefault="00A06B6E"/>
                      </w:txbxContent>
                    </v:textbox>
                  </v:shape>
                </w:pict>
              </mc:Fallback>
            </mc:AlternateContent>
          </w:r>
          <w:r w:rsidR="00E90F6E" w:rsidRPr="001221DF">
            <w:rPr>
              <w:rFonts w:eastAsia="Times New Roman" w:cstheme="minorHAnsi"/>
              <w:noProof/>
              <w:lang w:eastAsia="es-DO"/>
            </w:rPr>
            <w:drawing>
              <wp:anchor distT="0" distB="0" distL="114300" distR="114300" simplePos="0" relativeHeight="251658240" behindDoc="1" locked="0" layoutInCell="1" allowOverlap="1" wp14:anchorId="0D0CDFB8" wp14:editId="3FEC9E11">
                <wp:simplePos x="0" y="0"/>
                <wp:positionH relativeFrom="column">
                  <wp:posOffset>-685800</wp:posOffset>
                </wp:positionH>
                <wp:positionV relativeFrom="paragraph">
                  <wp:posOffset>-7382510</wp:posOffset>
                </wp:positionV>
                <wp:extent cx="7772400" cy="10058399"/>
                <wp:effectExtent l="0" t="0" r="0" b="635"/>
                <wp:wrapNone/>
                <wp:docPr id="76984" name="Picture 7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4" name="Picture 7698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10260" w:type="dxa"/>
            <w:tblLayout w:type="fixed"/>
            <w:tblCellMar>
              <w:left w:w="0" w:type="dxa"/>
              <w:right w:w="0" w:type="dxa"/>
            </w:tblCellMar>
            <w:tblLook w:val="04A0" w:firstRow="1" w:lastRow="0" w:firstColumn="1" w:lastColumn="0" w:noHBand="0" w:noVBand="1"/>
          </w:tblPr>
          <w:tblGrid>
            <w:gridCol w:w="7745"/>
            <w:gridCol w:w="2515"/>
          </w:tblGrid>
          <w:tr w:rsidR="00E90F6E" w:rsidRPr="001221DF" w14:paraId="128228D7" w14:textId="77777777" w:rsidTr="000C1DF1">
            <w:trPr>
              <w:trHeight w:hRule="exact" w:val="3013"/>
            </w:trPr>
            <w:tc>
              <w:tcPr>
                <w:tcW w:w="7745" w:type="dxa"/>
                <w:vAlign w:val="bottom"/>
              </w:tcPr>
              <w:p w14:paraId="1D28CF84" w14:textId="77777777" w:rsidR="00E90F6E" w:rsidRPr="001221DF" w:rsidRDefault="00E90F6E" w:rsidP="000C1DF1">
                <w:pPr>
                  <w:pStyle w:val="Documenttitle"/>
                  <w:rPr>
                    <w:rFonts w:asciiTheme="minorHAnsi" w:hAnsiTheme="minorHAnsi" w:cstheme="minorHAnsi"/>
                    <w:color w:val="auto"/>
                    <w:lang w:val="es-CR"/>
                  </w:rPr>
                </w:pPr>
                <w:r w:rsidRPr="001221DF">
                  <w:rPr>
                    <w:rFonts w:asciiTheme="minorHAnsi" w:hAnsiTheme="minorHAnsi" w:cstheme="minorHAnsi"/>
                    <w:color w:val="auto"/>
                    <w:lang w:val="es-CR"/>
                  </w:rPr>
                  <w:t>EITI República Dominicana</w:t>
                </w:r>
              </w:p>
              <w:p w14:paraId="41ADB639" w14:textId="3A268C0B" w:rsidR="00E90F6E" w:rsidRPr="001221DF" w:rsidRDefault="00E90F6E" w:rsidP="000C1DF1">
                <w:pPr>
                  <w:pStyle w:val="Documentsubtitle"/>
                  <w:rPr>
                    <w:rFonts w:cstheme="minorHAnsi"/>
                    <w:lang w:val="es-CR"/>
                  </w:rPr>
                </w:pPr>
                <w:r w:rsidRPr="001221DF">
                  <w:rPr>
                    <w:rFonts w:cstheme="minorHAnsi"/>
                    <w:lang w:val="es-CR"/>
                  </w:rPr>
                  <w:t xml:space="preserve">Informe de Cotejo </w:t>
                </w:r>
                <w:r w:rsidR="00C67678">
                  <w:rPr>
                    <w:rFonts w:cstheme="minorHAnsi"/>
                    <w:lang w:val="es-CR"/>
                  </w:rPr>
                  <w:t xml:space="preserve">de datos </w:t>
                </w:r>
                <w:r w:rsidRPr="001221DF">
                  <w:rPr>
                    <w:rFonts w:cstheme="minorHAnsi"/>
                    <w:lang w:val="es-CR"/>
                  </w:rPr>
                  <w:t>20</w:t>
                </w:r>
                <w:r w:rsidR="000C1DF1" w:rsidRPr="001221DF">
                  <w:rPr>
                    <w:rFonts w:cstheme="minorHAnsi"/>
                    <w:lang w:val="es-CR"/>
                  </w:rPr>
                  <w:t>19</w:t>
                </w:r>
                <w:r w:rsidRPr="001221DF">
                  <w:rPr>
                    <w:rFonts w:cstheme="minorHAnsi"/>
                    <w:lang w:val="es-CR"/>
                  </w:rPr>
                  <w:t>-20</w:t>
                </w:r>
                <w:r w:rsidR="000C1DF1" w:rsidRPr="001221DF">
                  <w:rPr>
                    <w:rFonts w:cstheme="minorHAnsi"/>
                    <w:lang w:val="es-CR"/>
                  </w:rPr>
                  <w:t>20</w:t>
                </w:r>
              </w:p>
              <w:p w14:paraId="4034762F" w14:textId="6D42B005" w:rsidR="00E90F6E" w:rsidRPr="001221DF" w:rsidRDefault="00960982" w:rsidP="000C1DF1">
                <w:pPr>
                  <w:pStyle w:val="Documentsubtitle"/>
                  <w:rPr>
                    <w:rFonts w:cstheme="minorHAnsi"/>
                    <w:sz w:val="20"/>
                    <w:szCs w:val="20"/>
                    <w:lang w:val="es-CR"/>
                  </w:rPr>
                </w:pPr>
                <w:r>
                  <w:rPr>
                    <w:rFonts w:cstheme="minorHAnsi"/>
                    <w:sz w:val="20"/>
                    <w:szCs w:val="20"/>
                    <w:lang w:val="es-CR"/>
                  </w:rPr>
                  <w:t>Febrero</w:t>
                </w:r>
                <w:r w:rsidR="00E90F6E" w:rsidRPr="001221DF">
                  <w:rPr>
                    <w:rFonts w:cstheme="minorHAnsi"/>
                    <w:sz w:val="20"/>
                    <w:szCs w:val="20"/>
                    <w:lang w:val="es-CR"/>
                  </w:rPr>
                  <w:t xml:space="preserve"> de 202</w:t>
                </w:r>
                <w:r w:rsidR="00447056" w:rsidRPr="001221DF">
                  <w:rPr>
                    <w:rFonts w:cstheme="minorHAnsi"/>
                    <w:sz w:val="20"/>
                    <w:szCs w:val="20"/>
                    <w:lang w:val="es-CR"/>
                  </w:rPr>
                  <w:t>2</w:t>
                </w:r>
              </w:p>
            </w:tc>
            <w:tc>
              <w:tcPr>
                <w:tcW w:w="2515" w:type="dxa"/>
                <w:vAlign w:val="bottom"/>
              </w:tcPr>
              <w:p w14:paraId="37A6BBDF" w14:textId="77777777" w:rsidR="00E90F6E" w:rsidRPr="001221DF" w:rsidRDefault="00E90F6E" w:rsidP="000C1DF1">
                <w:pPr>
                  <w:pStyle w:val="Documenttitle"/>
                  <w:rPr>
                    <w:rFonts w:asciiTheme="minorHAnsi" w:hAnsiTheme="minorHAnsi" w:cstheme="minorHAnsi"/>
                    <w:color w:val="auto"/>
                    <w:lang w:val="es-CR"/>
                  </w:rPr>
                </w:pPr>
              </w:p>
            </w:tc>
          </w:tr>
        </w:tbl>
        <w:p w14:paraId="266576E1" w14:textId="77777777" w:rsidR="00E90F6E" w:rsidRPr="001221DF" w:rsidRDefault="00E90F6E" w:rsidP="00E90F6E">
          <w:pPr>
            <w:spacing w:after="200" w:line="276" w:lineRule="auto"/>
            <w:rPr>
              <w:rFonts w:cstheme="minorHAnsi"/>
              <w:sz w:val="6"/>
              <w:szCs w:val="6"/>
              <w:lang w:val="es-CR"/>
            </w:rPr>
          </w:pPr>
        </w:p>
        <w:p w14:paraId="1D8E671D" w14:textId="77777777" w:rsidR="00E90F6E" w:rsidRPr="001221DF" w:rsidRDefault="00E90F6E" w:rsidP="00E90F6E">
          <w:pPr>
            <w:spacing w:after="200" w:line="276" w:lineRule="auto"/>
            <w:rPr>
              <w:rFonts w:cstheme="minorHAnsi"/>
              <w:sz w:val="6"/>
              <w:szCs w:val="6"/>
              <w:lang w:val="es-CR"/>
            </w:rPr>
            <w:sectPr w:rsidR="00E90F6E" w:rsidRPr="001221DF" w:rsidSect="008C287A">
              <w:headerReference w:type="even" r:id="rId9"/>
              <w:headerReference w:type="default" r:id="rId10"/>
              <w:footerReference w:type="even" r:id="rId11"/>
              <w:footerReference w:type="default" r:id="rId12"/>
              <w:headerReference w:type="first" r:id="rId13"/>
              <w:footerReference w:type="first" r:id="rId14"/>
              <w:pgSz w:w="12242" w:h="15842" w:code="1"/>
              <w:pgMar w:top="1987" w:right="1080" w:bottom="562" w:left="1080" w:header="677" w:footer="403" w:gutter="0"/>
              <w:pgNumType w:start="0"/>
              <w:cols w:space="284"/>
              <w:titlePg/>
              <w:docGrid w:linePitch="360"/>
            </w:sectPr>
          </w:pPr>
        </w:p>
        <w:p w14:paraId="681E20AA" w14:textId="77777777" w:rsidR="00E90F6E" w:rsidRPr="001221DF" w:rsidRDefault="00E90F6E" w:rsidP="00E90F6E">
          <w:pPr>
            <w:spacing w:after="200" w:line="276" w:lineRule="auto"/>
            <w:rPr>
              <w:rFonts w:cstheme="minorHAnsi"/>
              <w:lang w:val="es-CR"/>
            </w:rPr>
          </w:pPr>
        </w:p>
        <w:p w14:paraId="66D7F95D" w14:textId="77777777" w:rsidR="00E90F6E" w:rsidRPr="001221DF" w:rsidRDefault="00E90F6E" w:rsidP="00E90F6E">
          <w:pPr>
            <w:spacing w:after="200" w:line="276" w:lineRule="auto"/>
            <w:rPr>
              <w:rFonts w:cstheme="minorHAnsi"/>
              <w:lang w:val="es-CR"/>
            </w:rPr>
          </w:pPr>
        </w:p>
        <w:p w14:paraId="06865C4D" w14:textId="438783A8" w:rsidR="00E90F6E" w:rsidRPr="001221DF" w:rsidRDefault="00E90F6E" w:rsidP="00E90F6E">
          <w:pPr>
            <w:spacing w:after="200" w:line="276" w:lineRule="auto"/>
            <w:rPr>
              <w:rFonts w:cstheme="minorHAnsi"/>
              <w:lang w:val="es-CR"/>
            </w:rPr>
          </w:pPr>
        </w:p>
        <w:p w14:paraId="6B8F9E95" w14:textId="5BCFB282" w:rsidR="00E90F6E" w:rsidRPr="001221DF" w:rsidRDefault="00E90F6E" w:rsidP="00E90F6E">
          <w:pPr>
            <w:spacing w:after="200" w:line="276" w:lineRule="auto"/>
            <w:rPr>
              <w:rFonts w:cstheme="minorHAnsi"/>
              <w:lang w:val="es-CR"/>
            </w:rPr>
          </w:pPr>
        </w:p>
        <w:p w14:paraId="7FC3A533" w14:textId="77777777" w:rsidR="00E90F6E" w:rsidRPr="001221DF" w:rsidRDefault="00E90F6E" w:rsidP="00E90F6E">
          <w:pPr>
            <w:spacing w:after="200" w:line="276" w:lineRule="auto"/>
            <w:rPr>
              <w:rFonts w:cstheme="minorHAnsi"/>
              <w:lang w:val="es-CR"/>
            </w:rPr>
          </w:pPr>
        </w:p>
        <w:p w14:paraId="0FA58519" w14:textId="76C6D4AE" w:rsidR="00E90F6E" w:rsidRPr="001221DF" w:rsidRDefault="00E90F6E" w:rsidP="00E90F6E">
          <w:pPr>
            <w:spacing w:after="200" w:line="276" w:lineRule="auto"/>
            <w:rPr>
              <w:rFonts w:cstheme="minorHAnsi"/>
              <w:lang w:val="es-CR"/>
            </w:rPr>
          </w:pPr>
        </w:p>
        <w:p w14:paraId="5BEFD564" w14:textId="00259DD1" w:rsidR="00E90F6E" w:rsidRPr="001221DF" w:rsidRDefault="00E90F6E" w:rsidP="00E90F6E">
          <w:pPr>
            <w:spacing w:after="200" w:line="276" w:lineRule="auto"/>
            <w:rPr>
              <w:rFonts w:cstheme="minorHAnsi"/>
              <w:lang w:val="es-CR"/>
            </w:rPr>
          </w:pPr>
        </w:p>
        <w:p w14:paraId="1ADA37D8" w14:textId="6B9C412D" w:rsidR="00E90F6E" w:rsidRPr="001221DF" w:rsidRDefault="00E90F6E" w:rsidP="00E90F6E">
          <w:pPr>
            <w:spacing w:after="200" w:line="276" w:lineRule="auto"/>
            <w:rPr>
              <w:rFonts w:cstheme="minorHAnsi"/>
              <w:lang w:val="es-CR"/>
            </w:rPr>
          </w:pPr>
        </w:p>
        <w:p w14:paraId="409D1D21" w14:textId="705C3A1C" w:rsidR="00E90F6E" w:rsidRPr="001221DF" w:rsidRDefault="00E90F6E" w:rsidP="00E90F6E">
          <w:pPr>
            <w:spacing w:after="200" w:line="276" w:lineRule="auto"/>
            <w:rPr>
              <w:rFonts w:cstheme="minorHAnsi"/>
              <w:lang w:val="es-CR"/>
            </w:rPr>
          </w:pPr>
        </w:p>
        <w:p w14:paraId="667355A6" w14:textId="24855169" w:rsidR="00E90F6E" w:rsidRPr="001221DF" w:rsidRDefault="00E90F6E" w:rsidP="00E90F6E">
          <w:pPr>
            <w:spacing w:after="200" w:line="276" w:lineRule="auto"/>
            <w:rPr>
              <w:rFonts w:cstheme="minorHAnsi"/>
              <w:lang w:val="es-CR"/>
            </w:rPr>
          </w:pPr>
        </w:p>
        <w:p w14:paraId="71A9B943" w14:textId="55FDA397" w:rsidR="00E90F6E" w:rsidRPr="001221DF" w:rsidRDefault="00E90F6E" w:rsidP="00E90F6E">
          <w:pPr>
            <w:spacing w:after="200" w:line="276" w:lineRule="auto"/>
            <w:rPr>
              <w:rFonts w:cstheme="minorHAnsi"/>
              <w:lang w:val="es-CR"/>
            </w:rPr>
          </w:pPr>
          <w:r w:rsidRPr="001221DF">
            <w:rPr>
              <w:rFonts w:cstheme="minorHAnsi"/>
              <w:noProof/>
              <w:sz w:val="144"/>
              <w:szCs w:val="144"/>
              <w:lang w:eastAsia="es-DO"/>
            </w:rPr>
            <mc:AlternateContent>
              <mc:Choice Requires="wps">
                <w:drawing>
                  <wp:anchor distT="0" distB="0" distL="114300" distR="114300" simplePos="0" relativeHeight="251665408" behindDoc="1" locked="0" layoutInCell="1" allowOverlap="1" wp14:anchorId="12A34E8F" wp14:editId="7378BB14">
                    <wp:simplePos x="0" y="0"/>
                    <wp:positionH relativeFrom="page">
                      <wp:posOffset>0</wp:posOffset>
                    </wp:positionH>
                    <wp:positionV relativeFrom="page">
                      <wp:posOffset>0</wp:posOffset>
                    </wp:positionV>
                    <wp:extent cx="7837805" cy="10774680"/>
                    <wp:effectExtent l="0" t="0" r="0" b="7620"/>
                    <wp:wrapNone/>
                    <wp:docPr id="19" name="Rectangle 19"/>
                    <wp:cNvGraphicFramePr/>
                    <a:graphic xmlns:a="http://schemas.openxmlformats.org/drawingml/2006/main">
                      <a:graphicData uri="http://schemas.microsoft.com/office/word/2010/wordprocessingShape">
                        <wps:wsp>
                          <wps:cNvSpPr/>
                          <wps:spPr bwMode="gray">
                            <a:xfrm>
                              <a:off x="0" y="0"/>
                              <a:ext cx="7837805" cy="10774680"/>
                            </a:xfrm>
                            <a:prstGeom prst="rect">
                              <a:avLst/>
                            </a:prstGeom>
                            <a:solidFill>
                              <a:srgbClr val="004F59"/>
                            </a:solidFill>
                            <a:ln w="19050" algn="ctr">
                              <a:noFill/>
                              <a:miter lim="800000"/>
                              <a:headEnd/>
                              <a:tailEnd/>
                            </a:ln>
                          </wps:spPr>
                          <wps:txbx>
                            <w:txbxContent>
                              <w:p w14:paraId="0CC9A666" w14:textId="73D76559" w:rsidR="00C67678" w:rsidRPr="004F139B" w:rsidRDefault="00C67678" w:rsidP="00E90F6E">
                                <w:pPr>
                                  <w:ind w:left="720"/>
                                  <w:rPr>
                                    <w:rFonts w:ascii="Calibri" w:hAnsi="Calibri" w:cs="Calibri"/>
                                    <w:color w:val="FFFFFF" w:themeColor="background1"/>
                                    <w:sz w:val="144"/>
                                    <w:szCs w:val="144"/>
                                  </w:rPr>
                                </w:pPr>
                              </w:p>
                              <w:p w14:paraId="2F01571F" w14:textId="77777777" w:rsidR="00C67678" w:rsidRPr="004F139B" w:rsidRDefault="00C67678" w:rsidP="00E90F6E">
                                <w:pPr>
                                  <w:ind w:left="720"/>
                                  <w:rPr>
                                    <w:rFonts w:ascii="Calibri" w:hAnsi="Calibri" w:cs="Calibri"/>
                                    <w:color w:val="FFFFFF" w:themeColor="background1"/>
                                    <w:sz w:val="144"/>
                                    <w:szCs w:val="144"/>
                                  </w:rPr>
                                </w:pPr>
                                <w:r w:rsidRPr="004F139B">
                                  <w:rPr>
                                    <w:rFonts w:ascii="Calibri" w:hAnsi="Calibri" w:cs="Calibri"/>
                                    <w:color w:val="FFFFFF" w:themeColor="background1"/>
                                    <w:sz w:val="60"/>
                                    <w:szCs w:val="60"/>
                                  </w:rPr>
                                  <w:t>Resumen Ejecutivo</w:t>
                                </w:r>
                              </w:p>
                              <w:p w14:paraId="6177FF5A" w14:textId="77777777" w:rsidR="00C67678" w:rsidRPr="00FE520B" w:rsidRDefault="00C67678" w:rsidP="00E90F6E">
                                <w:pPr>
                                  <w:rPr>
                                    <w:color w:val="FFFFFF" w:themeColor="background1"/>
                                    <w:sz w:val="60"/>
                                    <w:szCs w:val="60"/>
                                  </w:rPr>
                                </w:pPr>
                              </w:p>
                            </w:txbxContent>
                          </wps:txbx>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4E8F" id="Rectangle 19" o:spid="_x0000_s1026" style="position:absolute;margin-left:0;margin-top:0;width:617.15pt;height:84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" fillcolor="#004f59" stroked="f" strokeweight="1.5pt">
                    <v:textbox inset="7pt,7pt,7pt,7pt">
                      <w:txbxContent>
                        <w:p w14:paraId="0CC9A666" w14:textId="73D76559" w:rsidR="00C67678" w:rsidRPr="004F139B" w:rsidRDefault="00C67678" w:rsidP="00E90F6E">
                          <w:pPr>
                            <w:ind w:left="720"/>
                            <w:rPr>
                              <w:rFonts w:ascii="Calibri" w:hAnsi="Calibri" w:cs="Calibri"/>
                              <w:color w:val="FFFFFF" w:themeColor="background1"/>
                              <w:sz w:val="144"/>
                              <w:szCs w:val="144"/>
                            </w:rPr>
                          </w:pPr>
                        </w:p>
                        <w:p w14:paraId="2F01571F" w14:textId="77777777" w:rsidR="00C67678" w:rsidRPr="004F139B" w:rsidRDefault="00C67678" w:rsidP="00E90F6E">
                          <w:pPr>
                            <w:ind w:left="720"/>
                            <w:rPr>
                              <w:rFonts w:ascii="Calibri" w:hAnsi="Calibri" w:cs="Calibri"/>
                              <w:color w:val="FFFFFF" w:themeColor="background1"/>
                              <w:sz w:val="144"/>
                              <w:szCs w:val="144"/>
                            </w:rPr>
                          </w:pPr>
                          <w:r w:rsidRPr="004F139B">
                            <w:rPr>
                              <w:rFonts w:ascii="Calibri" w:hAnsi="Calibri" w:cs="Calibri"/>
                              <w:color w:val="FFFFFF" w:themeColor="background1"/>
                              <w:sz w:val="60"/>
                              <w:szCs w:val="60"/>
                            </w:rPr>
                            <w:t>Resumen Ejecutivo</w:t>
                          </w:r>
                        </w:p>
                        <w:p w14:paraId="6177FF5A" w14:textId="77777777" w:rsidR="00C67678" w:rsidRPr="00FE520B" w:rsidRDefault="00C67678" w:rsidP="00E90F6E">
                          <w:pPr>
                            <w:rPr>
                              <w:color w:val="FFFFFF" w:themeColor="background1"/>
                              <w:sz w:val="60"/>
                              <w:szCs w:val="60"/>
                            </w:rPr>
                          </w:pPr>
                        </w:p>
                      </w:txbxContent>
                    </v:textbox>
                    <w10:wrap anchorx="page" anchory="page"/>
                  </v:rect>
                </w:pict>
              </mc:Fallback>
            </mc:AlternateContent>
          </w:r>
          <w:r w:rsidRPr="001221DF">
            <w:rPr>
              <w:rFonts w:cstheme="minorHAnsi"/>
              <w:lang w:val="es-CR"/>
            </w:rPr>
            <w:br w:type="page"/>
          </w:r>
        </w:p>
        <w:p w14:paraId="17353821" w14:textId="77777777" w:rsidR="00E90F6E" w:rsidRPr="001221DF" w:rsidRDefault="00A825AC" w:rsidP="00E90F6E">
          <w:pPr>
            <w:spacing w:after="200" w:line="276" w:lineRule="auto"/>
            <w:rPr>
              <w:rFonts w:cstheme="minorHAnsi"/>
              <w:sz w:val="2"/>
              <w:lang w:val="es-CR"/>
            </w:rPr>
          </w:pPr>
        </w:p>
      </w:sdtContent>
    </w:sdt>
    <w:p w14:paraId="6FB6F5F8" w14:textId="77777777" w:rsidR="00E90F6E" w:rsidRPr="001221DF" w:rsidRDefault="00E90F6E" w:rsidP="00C67678">
      <w:pPr>
        <w:pStyle w:val="Sectiontitle"/>
        <w:rPr>
          <w:rFonts w:cstheme="minorHAnsi"/>
          <w:lang w:val="es-CR"/>
        </w:rPr>
      </w:pPr>
      <w:r w:rsidRPr="001221DF">
        <w:rPr>
          <w:rFonts w:cstheme="minorHAnsi"/>
          <w:lang w:val="es-CR"/>
        </w:rPr>
        <w:t>Resumen Ejecutivo</w:t>
      </w:r>
    </w:p>
    <w:p w14:paraId="59071CD5" w14:textId="1DD5BF78" w:rsidR="00E90F6E" w:rsidRPr="001221DF" w:rsidRDefault="00E90F6E" w:rsidP="00E90F6E">
      <w:pPr>
        <w:rPr>
          <w:rFonts w:cstheme="minorHAnsi"/>
          <w:lang w:val="es-CR"/>
        </w:rPr>
      </w:pPr>
      <w:r w:rsidRPr="001221DF">
        <w:rPr>
          <w:rFonts w:cstheme="minorHAnsi"/>
          <w:lang w:val="es-CR"/>
        </w:rPr>
        <w:t>El Informe EITI de la República Dominicana, requiere como uno de sus elementos fundamentales la recopilación y cotejo de los pagos realizados por las empresas extractivas durante los años finalizados al 31 de diciembre de 201</w:t>
      </w:r>
      <w:r w:rsidR="000C1DF1" w:rsidRPr="001221DF">
        <w:rPr>
          <w:rFonts w:cstheme="minorHAnsi"/>
          <w:lang w:val="es-CR"/>
        </w:rPr>
        <w:t>9</w:t>
      </w:r>
      <w:r w:rsidRPr="001221DF">
        <w:rPr>
          <w:rFonts w:cstheme="minorHAnsi"/>
          <w:lang w:val="es-CR"/>
        </w:rPr>
        <w:t xml:space="preserve"> y 20</w:t>
      </w:r>
      <w:r w:rsidR="000C1DF1" w:rsidRPr="001221DF">
        <w:rPr>
          <w:rFonts w:cstheme="minorHAnsi"/>
          <w:lang w:val="es-CR"/>
        </w:rPr>
        <w:t>20</w:t>
      </w:r>
      <w:r w:rsidRPr="001221DF">
        <w:rPr>
          <w:rFonts w:cstheme="minorHAnsi"/>
          <w:lang w:val="es-CR"/>
        </w:rPr>
        <w:t xml:space="preserve">, y el ingreso reconocido de las entidades gubernamentales que tienen a su cargo la recaudación de impuestos, tasas, regalías, derechos contractuales y otros pagos resultantes de la explotación minera en la República Dominicana. </w:t>
      </w:r>
    </w:p>
    <w:p w14:paraId="00EA0D65" w14:textId="0FD2A52B" w:rsidR="00E90F6E" w:rsidRPr="001221DF" w:rsidRDefault="00E90F6E" w:rsidP="00E90F6E">
      <w:pPr>
        <w:autoSpaceDE w:val="0"/>
        <w:autoSpaceDN w:val="0"/>
        <w:spacing w:after="0" w:line="240" w:lineRule="auto"/>
        <w:rPr>
          <w:rFonts w:cstheme="minorHAnsi"/>
          <w:lang w:val="es-CR"/>
        </w:rPr>
      </w:pPr>
      <w:r w:rsidRPr="001221DF">
        <w:rPr>
          <w:rFonts w:cstheme="minorHAnsi"/>
          <w:lang w:val="es-CR"/>
        </w:rPr>
        <w:t>Deloitte RD, SRL</w:t>
      </w:r>
      <w:r w:rsidRPr="00A06B6E">
        <w:rPr>
          <w:rFonts w:cstheme="minorHAnsi"/>
          <w:lang w:val="es-CR"/>
        </w:rPr>
        <w:t>,</w:t>
      </w:r>
      <w:r w:rsidR="006524EF" w:rsidRPr="00A06B6E">
        <w:rPr>
          <w:rFonts w:cstheme="minorHAnsi"/>
          <w:lang w:val="es-CR"/>
        </w:rPr>
        <w:t xml:space="preserve"> como parte de los procedimientos convenidos conforme NISR 4400</w:t>
      </w:r>
      <w:r w:rsidRPr="00A06B6E">
        <w:rPr>
          <w:rFonts w:cstheme="minorHAnsi"/>
          <w:lang w:val="es-CR"/>
        </w:rPr>
        <w:t>,</w:t>
      </w:r>
      <w:r w:rsidRPr="001221DF">
        <w:rPr>
          <w:rFonts w:cstheme="minorHAnsi"/>
          <w:lang w:val="es-CR"/>
        </w:rPr>
        <w:t xml:space="preserve"> se encargó de la recopilación y cotejo de datos, según el Contrato Nro. </w:t>
      </w:r>
      <w:r w:rsidR="00447056" w:rsidRPr="001221DF">
        <w:rPr>
          <w:rFonts w:cstheme="minorHAnsi"/>
          <w:lang w:val="es-CR"/>
        </w:rPr>
        <w:t>689</w:t>
      </w:r>
      <w:r w:rsidRPr="001221DF">
        <w:rPr>
          <w:rFonts w:cstheme="minorHAnsi"/>
          <w:lang w:val="es-CR"/>
        </w:rPr>
        <w:t>/</w:t>
      </w:r>
      <w:r w:rsidR="00447056" w:rsidRPr="001221DF">
        <w:rPr>
          <w:rFonts w:cstheme="minorHAnsi"/>
          <w:lang w:val="es-CR"/>
        </w:rPr>
        <w:t>21</w:t>
      </w:r>
      <w:r w:rsidRPr="001221DF">
        <w:rPr>
          <w:rFonts w:cstheme="minorHAnsi"/>
          <w:lang w:val="es-CR"/>
        </w:rPr>
        <w:t xml:space="preserve"> suscrito con el Ministerio de Energía y Minas el </w:t>
      </w:r>
      <w:r w:rsidR="00447056" w:rsidRPr="001221DF">
        <w:rPr>
          <w:rFonts w:cstheme="minorHAnsi"/>
          <w:lang w:val="es-CR"/>
        </w:rPr>
        <w:t>16</w:t>
      </w:r>
      <w:r w:rsidRPr="001221DF">
        <w:rPr>
          <w:rFonts w:cstheme="minorHAnsi"/>
          <w:lang w:val="es-CR"/>
        </w:rPr>
        <w:t xml:space="preserve"> de diciembre de 20</w:t>
      </w:r>
      <w:r w:rsidR="00447056" w:rsidRPr="001221DF">
        <w:rPr>
          <w:rFonts w:cstheme="minorHAnsi"/>
          <w:lang w:val="es-CR"/>
        </w:rPr>
        <w:t>21</w:t>
      </w:r>
      <w:r w:rsidRPr="001221DF">
        <w:rPr>
          <w:rFonts w:cstheme="minorHAnsi"/>
          <w:lang w:val="es-CR"/>
        </w:rPr>
        <w:t>. A continuación, un resumen de los principales resultados y conclusiones derivados del trabajo de Deloitte</w:t>
      </w:r>
      <w:r w:rsidR="00EC7A0E">
        <w:rPr>
          <w:rFonts w:cstheme="minorHAnsi"/>
          <w:lang w:val="es-CR"/>
        </w:rPr>
        <w:t>.</w:t>
      </w:r>
    </w:p>
    <w:p w14:paraId="2E109264" w14:textId="77777777" w:rsidR="00E90F6E" w:rsidRPr="001221DF" w:rsidRDefault="00E90F6E" w:rsidP="00E90F6E">
      <w:pPr>
        <w:autoSpaceDE w:val="0"/>
        <w:autoSpaceDN w:val="0"/>
        <w:spacing w:after="0" w:line="240" w:lineRule="auto"/>
        <w:rPr>
          <w:rFonts w:cstheme="minorHAnsi"/>
          <w:sz w:val="8"/>
          <w:szCs w:val="8"/>
          <w:lang w:val="es-CR"/>
        </w:rPr>
      </w:pPr>
    </w:p>
    <w:p w14:paraId="04A83046" w14:textId="6364EC34" w:rsidR="00E90F6E" w:rsidRPr="001221DF" w:rsidRDefault="00934508" w:rsidP="00E90F6E">
      <w:pPr>
        <w:spacing w:after="0" w:line="240" w:lineRule="auto"/>
        <w:rPr>
          <w:rFonts w:cstheme="minorHAnsi"/>
          <w:sz w:val="16"/>
          <w:szCs w:val="16"/>
          <w:lang w:val="es-CR"/>
        </w:rPr>
      </w:pPr>
      <w:bookmarkStart w:id="0" w:name="DA_RN_3932341232200000057"/>
      <w:r>
        <w:rPr>
          <w:rFonts w:cstheme="minorHAnsi"/>
          <w:noProof/>
          <w:sz w:val="16"/>
          <w:szCs w:val="16"/>
          <w:lang w:val="es-CR"/>
        </w:rPr>
        <w:lastRenderedPageBreak/>
        <w:drawing>
          <wp:inline distT="0" distB="0" distL="0" distR="0" wp14:anchorId="579C992C" wp14:editId="7A2D0B82">
            <wp:extent cx="6509982" cy="8114665"/>
            <wp:effectExtent l="0" t="0" r="628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0"/>
    </w:p>
    <w:p w14:paraId="43509A3D" w14:textId="77777777" w:rsidR="00E90F6E" w:rsidRPr="001221DF" w:rsidRDefault="00E90F6E" w:rsidP="00E90F6E">
      <w:pPr>
        <w:spacing w:after="0" w:line="240" w:lineRule="auto"/>
        <w:rPr>
          <w:rFonts w:cstheme="minorHAnsi"/>
          <w:sz w:val="16"/>
          <w:szCs w:val="16"/>
          <w:lang w:val="es-CR"/>
        </w:rPr>
      </w:pPr>
    </w:p>
    <w:p w14:paraId="08FA2458" w14:textId="77777777" w:rsidR="00E90F6E" w:rsidRPr="001221DF" w:rsidRDefault="00E90F6E" w:rsidP="00E90F6E">
      <w:pPr>
        <w:pBdr>
          <w:top w:val="single" w:sz="4" w:space="1" w:color="auto"/>
        </w:pBdr>
        <w:spacing w:after="0" w:line="240" w:lineRule="auto"/>
        <w:rPr>
          <w:rFonts w:cstheme="minorHAnsi"/>
          <w:sz w:val="16"/>
          <w:szCs w:val="16"/>
          <w:vertAlign w:val="subscript"/>
          <w:lang w:val="es-CR"/>
        </w:rPr>
      </w:pPr>
      <w:r w:rsidRPr="001221DF">
        <w:rPr>
          <w:rFonts w:cstheme="minorHAnsi"/>
          <w:b/>
          <w:sz w:val="12"/>
          <w:szCs w:val="12"/>
          <w:vertAlign w:val="superscript"/>
          <w:lang w:val="es-CR"/>
        </w:rPr>
        <w:t xml:space="preserve">1 </w:t>
      </w:r>
      <w:r w:rsidRPr="001221DF">
        <w:rPr>
          <w:rFonts w:cstheme="minorHAnsi"/>
          <w:sz w:val="16"/>
          <w:szCs w:val="16"/>
          <w:vertAlign w:val="subscript"/>
          <w:lang w:val="es-CR"/>
        </w:rPr>
        <w:t>Se interpreta igual a Renta Neta de Fundición (RNF).</w:t>
      </w:r>
    </w:p>
    <w:p w14:paraId="7F50E90E" w14:textId="7EA1E09F" w:rsidR="00E90F6E" w:rsidRPr="001221DF" w:rsidRDefault="00E90F6E" w:rsidP="00E90F6E">
      <w:pPr>
        <w:pBdr>
          <w:top w:val="single" w:sz="4" w:space="1" w:color="auto"/>
        </w:pBdr>
        <w:spacing w:after="0" w:line="240" w:lineRule="auto"/>
        <w:rPr>
          <w:rFonts w:cstheme="minorHAnsi"/>
          <w:sz w:val="16"/>
          <w:szCs w:val="16"/>
          <w:lang w:val="es-CR"/>
        </w:rPr>
      </w:pPr>
      <w:r w:rsidRPr="001221DF">
        <w:rPr>
          <w:rFonts w:cstheme="minorHAnsi"/>
          <w:sz w:val="16"/>
          <w:szCs w:val="16"/>
          <w:lang w:val="es-CR"/>
        </w:rPr>
        <w:br w:type="page"/>
      </w:r>
    </w:p>
    <w:p w14:paraId="5E09BAEA" w14:textId="0CBDE11B" w:rsidR="00E90F6E" w:rsidRPr="006E516E" w:rsidRDefault="00DF6DD3" w:rsidP="00E90F6E">
      <w:pPr>
        <w:rPr>
          <w:rFonts w:cstheme="minorHAnsi"/>
          <w:color w:val="FFFFFF" w:themeColor="background1"/>
          <w:lang w:val="es-CR"/>
        </w:rPr>
      </w:pPr>
      <w:r w:rsidRPr="009C697A">
        <w:rPr>
          <w:rFonts w:cstheme="minorHAnsi"/>
          <w:noProof/>
          <w:sz w:val="144"/>
          <w:szCs w:val="144"/>
          <w:lang w:eastAsia="es-DO"/>
        </w:rPr>
        <w:lastRenderedPageBreak/>
        <mc:AlternateContent>
          <mc:Choice Requires="wps">
            <w:drawing>
              <wp:anchor distT="0" distB="0" distL="114300" distR="114300" simplePos="0" relativeHeight="251657215" behindDoc="1" locked="0" layoutInCell="1" allowOverlap="1" wp14:anchorId="60C907A8" wp14:editId="498EA8CA">
                <wp:simplePos x="0" y="0"/>
                <wp:positionH relativeFrom="page">
                  <wp:align>left</wp:align>
                </wp:positionH>
                <wp:positionV relativeFrom="page">
                  <wp:posOffset>-134620</wp:posOffset>
                </wp:positionV>
                <wp:extent cx="7746365" cy="10774680"/>
                <wp:effectExtent l="0" t="0" r="6985" b="7620"/>
                <wp:wrapNone/>
                <wp:docPr id="12" name="Rectangle 12"/>
                <wp:cNvGraphicFramePr/>
                <a:graphic xmlns:a="http://schemas.openxmlformats.org/drawingml/2006/main">
                  <a:graphicData uri="http://schemas.microsoft.com/office/word/2010/wordprocessingShape">
                    <wps:wsp>
                      <wps:cNvSpPr/>
                      <wps:spPr bwMode="gray">
                        <a:xfrm>
                          <a:off x="0" y="0"/>
                          <a:ext cx="7746365" cy="10774680"/>
                        </a:xfrm>
                        <a:prstGeom prst="rect">
                          <a:avLst/>
                        </a:prstGeom>
                        <a:solidFill>
                          <a:srgbClr val="00ABAB"/>
                        </a:solidFill>
                        <a:ln w="19050" algn="ctr">
                          <a:noFill/>
                          <a:miter lim="800000"/>
                          <a:headEnd/>
                          <a:tailEnd/>
                        </a:ln>
                      </wps:spPr>
                      <wps:txbx>
                        <w:txbxContent>
                          <w:p w14:paraId="018D7905" w14:textId="4EE1B55B" w:rsidR="00C67678" w:rsidRPr="007A5D54" w:rsidRDefault="00C67678" w:rsidP="00C45714">
                            <w:pPr>
                              <w:spacing w:after="0" w:line="240" w:lineRule="auto"/>
                              <w:ind w:right="57"/>
                              <w:jc w:val="right"/>
                              <w:rPr>
                                <w:rFonts w:cstheme="minorHAnsi"/>
                                <w:b/>
                                <w:bCs/>
                                <w:sz w:val="16"/>
                                <w:szCs w:val="16"/>
                                <w:lang w:val="es-CR"/>
                              </w:rPr>
                            </w:pPr>
                          </w:p>
                        </w:txbxContent>
                      </wps:txbx>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907A8" id="Rectangle 12" o:spid="_x0000_s1028" style="position:absolute;margin-left:0;margin-top:-10.6pt;width:609.95pt;height:848.4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" fillcolor="#00abab" stroked="f" strokeweight="1.5pt">
                <v:textbox inset="7pt,7pt,7pt,7pt">
                  <w:txbxContent>
                    <w:p w14:paraId="018D7905" w14:textId="4EE1B55B" w:rsidR="00C67678" w:rsidRPr="007A5D54" w:rsidRDefault="00C67678" w:rsidP="00C45714">
                      <w:pPr>
                        <w:spacing w:after="0" w:line="240" w:lineRule="auto"/>
                        <w:ind w:right="57"/>
                        <w:jc w:val="right"/>
                        <w:rPr>
                          <w:rFonts w:cstheme="minorHAnsi"/>
                          <w:b/>
                          <w:bCs/>
                          <w:sz w:val="16"/>
                          <w:szCs w:val="16"/>
                          <w:lang w:val="es-CR"/>
                        </w:rPr>
                      </w:pPr>
                    </w:p>
                  </w:txbxContent>
                </v:textbox>
                <w10:wrap anchorx="page" anchory="page"/>
              </v:rect>
            </w:pict>
          </mc:Fallback>
        </mc:AlternateContent>
      </w:r>
      <w:r w:rsidR="00E90F6E" w:rsidRPr="009C697A">
        <w:rPr>
          <w:rFonts w:cstheme="minorHAnsi"/>
          <w:sz w:val="48"/>
          <w:lang w:val="es-CR"/>
        </w:rPr>
        <w:t>Comparación con el</w:t>
      </w:r>
      <w:r w:rsidR="004B5FE5" w:rsidRPr="009C697A">
        <w:rPr>
          <w:rFonts w:cstheme="minorHAnsi"/>
          <w:sz w:val="48"/>
          <w:lang w:val="es-CR"/>
        </w:rPr>
        <w:t xml:space="preserve"> tercer</w:t>
      </w:r>
      <w:r w:rsidR="00E90F6E" w:rsidRPr="009C697A">
        <w:rPr>
          <w:rFonts w:cstheme="minorHAnsi"/>
          <w:sz w:val="48"/>
          <w:lang w:val="es-CR"/>
        </w:rPr>
        <w:t xml:space="preserve"> informe EITI- RD</w:t>
      </w:r>
    </w:p>
    <w:p w14:paraId="36549486" w14:textId="31C683A6" w:rsidR="00E90F6E" w:rsidRPr="009C697A" w:rsidRDefault="00E90F6E" w:rsidP="00E90F6E">
      <w:pPr>
        <w:ind w:left="90"/>
        <w:rPr>
          <w:rFonts w:cstheme="minorHAnsi"/>
          <w:lang w:val="es-CR"/>
        </w:rPr>
      </w:pPr>
      <w:r w:rsidRPr="009C697A">
        <w:rPr>
          <w:rFonts w:cstheme="minorHAnsi"/>
          <w:lang w:val="es-CR"/>
        </w:rPr>
        <w:t>El cuadro siguiente muestra los resultados comparativos de las cifras por rubro de ingresos cotejados</w:t>
      </w:r>
      <w:r w:rsidR="00E654E0" w:rsidRPr="009C697A">
        <w:rPr>
          <w:rFonts w:cstheme="minorHAnsi"/>
          <w:lang w:val="es-CR"/>
        </w:rPr>
        <w:t xml:space="preserve"> </w:t>
      </w:r>
      <w:r w:rsidRPr="009C697A">
        <w:rPr>
          <w:rFonts w:cstheme="minorHAnsi"/>
          <w:lang w:val="es-CR"/>
        </w:rPr>
        <w:t xml:space="preserve">y </w:t>
      </w:r>
      <w:bookmarkStart w:id="1" w:name="DA_RN_3932341232200000058"/>
      <w:r w:rsidRPr="009C697A">
        <w:rPr>
          <w:rFonts w:cstheme="minorHAnsi"/>
          <w:lang w:val="es-CR"/>
        </w:rPr>
        <w:t xml:space="preserve">reportados en el </w:t>
      </w:r>
      <w:bookmarkEnd w:id="1"/>
      <w:r w:rsidR="007449AB" w:rsidRPr="009C697A">
        <w:rPr>
          <w:rFonts w:cstheme="minorHAnsi"/>
          <w:lang w:val="es-CR"/>
        </w:rPr>
        <w:t xml:space="preserve">tercer y cuarto </w:t>
      </w:r>
      <w:r w:rsidRPr="009C697A">
        <w:rPr>
          <w:rFonts w:cstheme="minorHAnsi"/>
          <w:lang w:val="es-CR"/>
        </w:rPr>
        <w:t>informe EITI- RD reportados por entidades de gobierno a</w:t>
      </w:r>
      <w:r w:rsidR="00EC7A0E">
        <w:rPr>
          <w:rFonts w:cstheme="minorHAnsi"/>
          <w:lang w:val="es-CR"/>
        </w:rPr>
        <w:t xml:space="preserve"> Deloitte</w:t>
      </w:r>
      <w:r w:rsidRPr="009C697A">
        <w:rPr>
          <w:rFonts w:cstheme="minorHAnsi"/>
          <w:lang w:val="es-CR"/>
        </w:rPr>
        <w:t>:</w:t>
      </w:r>
    </w:p>
    <w:tbl>
      <w:tblPr>
        <w:tblStyle w:val="Style2"/>
        <w:tblW w:w="11193" w:type="dxa"/>
        <w:tblInd w:w="-432" w:type="dxa"/>
        <w:tblLook w:val="04E0" w:firstRow="1" w:lastRow="1" w:firstColumn="1" w:lastColumn="0" w:noHBand="0" w:noVBand="1"/>
      </w:tblPr>
      <w:tblGrid>
        <w:gridCol w:w="4916"/>
        <w:gridCol w:w="1538"/>
        <w:gridCol w:w="1539"/>
        <w:gridCol w:w="1600"/>
        <w:gridCol w:w="1600"/>
      </w:tblGrid>
      <w:tr w:rsidR="00FB0E1E" w:rsidRPr="001221DF" w14:paraId="6B35065A" w14:textId="77777777" w:rsidTr="00EC1104">
        <w:trPr>
          <w:cnfStyle w:val="100000000000" w:firstRow="1" w:lastRow="0" w:firstColumn="0" w:lastColumn="0" w:oddVBand="0" w:evenVBand="0" w:oddHBand="0" w:evenHBand="0" w:firstRowFirstColumn="0" w:firstRowLastColumn="0" w:lastRowFirstColumn="0" w:lastRowLastColumn="0"/>
          <w:trHeight w:val="432"/>
        </w:trPr>
        <w:tc>
          <w:tcPr>
            <w:tcW w:w="4916" w:type="dxa"/>
            <w:shd w:val="clear" w:color="auto" w:fill="000000" w:themeFill="text1"/>
            <w:vAlign w:val="center"/>
          </w:tcPr>
          <w:p w14:paraId="31D3D895" w14:textId="77777777" w:rsidR="00FB0E1E" w:rsidRPr="006E516E" w:rsidRDefault="00FB0E1E" w:rsidP="00EC1104">
            <w:pPr>
              <w:spacing w:after="0" w:line="240" w:lineRule="auto"/>
              <w:jc w:val="center"/>
              <w:rPr>
                <w:rFonts w:cstheme="minorHAnsi"/>
                <w:b/>
                <w:color w:val="FFFFFF" w:themeColor="background1"/>
                <w:sz w:val="16"/>
                <w:szCs w:val="16"/>
                <w:lang w:val="es-CR"/>
              </w:rPr>
            </w:pPr>
            <w:r w:rsidRPr="006E516E">
              <w:rPr>
                <w:rFonts w:cstheme="minorHAnsi"/>
                <w:b/>
                <w:color w:val="FFFFFF" w:themeColor="background1"/>
                <w:sz w:val="16"/>
                <w:szCs w:val="16"/>
                <w:lang w:val="es-CR"/>
              </w:rPr>
              <w:t>Flujo de ingresos cotejados</w:t>
            </w:r>
          </w:p>
        </w:tc>
        <w:tc>
          <w:tcPr>
            <w:tcW w:w="1538" w:type="dxa"/>
            <w:shd w:val="clear" w:color="auto" w:fill="000000" w:themeFill="text1"/>
            <w:vAlign w:val="center"/>
          </w:tcPr>
          <w:p w14:paraId="2728878D" w14:textId="77777777" w:rsidR="00FB0E1E" w:rsidRPr="006E516E" w:rsidRDefault="00FB0E1E" w:rsidP="00EC1104">
            <w:pPr>
              <w:spacing w:after="0" w:line="240" w:lineRule="auto"/>
              <w:jc w:val="center"/>
              <w:rPr>
                <w:rFonts w:cstheme="minorHAnsi"/>
                <w:b/>
                <w:color w:val="FFFFFF" w:themeColor="background1"/>
                <w:sz w:val="16"/>
                <w:szCs w:val="16"/>
                <w:lang w:val="es-CR"/>
              </w:rPr>
            </w:pPr>
            <w:r w:rsidRPr="006E516E">
              <w:rPr>
                <w:rFonts w:cstheme="minorHAnsi"/>
                <w:b/>
                <w:color w:val="FFFFFF" w:themeColor="background1"/>
                <w:sz w:val="16"/>
                <w:szCs w:val="16"/>
                <w:lang w:val="es-CR"/>
              </w:rPr>
              <w:t>2020</w:t>
            </w:r>
          </w:p>
        </w:tc>
        <w:tc>
          <w:tcPr>
            <w:tcW w:w="1539" w:type="dxa"/>
            <w:shd w:val="clear" w:color="auto" w:fill="000000" w:themeFill="text1"/>
            <w:vAlign w:val="center"/>
          </w:tcPr>
          <w:p w14:paraId="58E4E145" w14:textId="77777777" w:rsidR="00FB0E1E" w:rsidRPr="006E516E" w:rsidRDefault="00FB0E1E" w:rsidP="00EC1104">
            <w:pPr>
              <w:spacing w:after="0" w:line="240" w:lineRule="auto"/>
              <w:jc w:val="center"/>
              <w:rPr>
                <w:rFonts w:cstheme="minorHAnsi"/>
                <w:b/>
                <w:color w:val="FFFFFF" w:themeColor="background1"/>
                <w:sz w:val="16"/>
                <w:szCs w:val="16"/>
                <w:lang w:val="es-CR"/>
              </w:rPr>
            </w:pPr>
            <w:r w:rsidRPr="006E516E">
              <w:rPr>
                <w:rFonts w:cstheme="minorHAnsi"/>
                <w:b/>
                <w:color w:val="FFFFFF" w:themeColor="background1"/>
                <w:sz w:val="16"/>
                <w:szCs w:val="16"/>
                <w:lang w:val="es-CR"/>
              </w:rPr>
              <w:t>2019</w:t>
            </w:r>
          </w:p>
        </w:tc>
        <w:tc>
          <w:tcPr>
            <w:tcW w:w="1600" w:type="dxa"/>
            <w:shd w:val="clear" w:color="auto" w:fill="000000" w:themeFill="text1"/>
            <w:vAlign w:val="center"/>
          </w:tcPr>
          <w:p w14:paraId="5FA304FB" w14:textId="77777777" w:rsidR="00FB0E1E" w:rsidRPr="006E516E" w:rsidRDefault="00FB0E1E" w:rsidP="00EC1104">
            <w:pPr>
              <w:spacing w:after="0" w:line="240" w:lineRule="auto"/>
              <w:jc w:val="center"/>
              <w:rPr>
                <w:rFonts w:cstheme="minorHAnsi"/>
                <w:b/>
                <w:color w:val="FFFFFF" w:themeColor="background1"/>
                <w:sz w:val="16"/>
                <w:szCs w:val="16"/>
                <w:lang w:val="es-CR"/>
              </w:rPr>
            </w:pPr>
            <w:r w:rsidRPr="006E516E">
              <w:rPr>
                <w:rFonts w:cstheme="minorHAnsi"/>
                <w:b/>
                <w:color w:val="FFFFFF" w:themeColor="background1"/>
                <w:sz w:val="16"/>
                <w:szCs w:val="16"/>
                <w:lang w:val="es-CR"/>
              </w:rPr>
              <w:t>2018</w:t>
            </w:r>
          </w:p>
        </w:tc>
        <w:tc>
          <w:tcPr>
            <w:tcW w:w="1600" w:type="dxa"/>
            <w:shd w:val="clear" w:color="auto" w:fill="000000" w:themeFill="text1"/>
            <w:vAlign w:val="center"/>
          </w:tcPr>
          <w:p w14:paraId="0C030720" w14:textId="77777777" w:rsidR="00FB0E1E" w:rsidRPr="006E516E" w:rsidRDefault="00FB0E1E" w:rsidP="00EC1104">
            <w:pPr>
              <w:spacing w:after="0" w:line="240" w:lineRule="auto"/>
              <w:jc w:val="center"/>
              <w:rPr>
                <w:rFonts w:cstheme="minorHAnsi"/>
                <w:b/>
                <w:color w:val="FFFFFF" w:themeColor="background1"/>
                <w:sz w:val="16"/>
                <w:szCs w:val="16"/>
                <w:lang w:val="es-CR"/>
              </w:rPr>
            </w:pPr>
            <w:r>
              <w:rPr>
                <w:rFonts w:cstheme="minorHAnsi"/>
                <w:b/>
                <w:color w:val="FFFFFF" w:themeColor="background1"/>
                <w:sz w:val="16"/>
                <w:szCs w:val="16"/>
                <w:lang w:val="es-CR"/>
              </w:rPr>
              <w:t>2017</w:t>
            </w:r>
          </w:p>
        </w:tc>
      </w:tr>
      <w:tr w:rsidR="00FB0E1E" w:rsidRPr="001221DF" w14:paraId="2CF6ED57" w14:textId="77777777" w:rsidTr="00EC1104">
        <w:trPr>
          <w:trHeight w:val="432"/>
        </w:trPr>
        <w:tc>
          <w:tcPr>
            <w:tcW w:w="4916" w:type="dxa"/>
            <w:shd w:val="clear" w:color="auto" w:fill="000000" w:themeFill="text1"/>
            <w:vAlign w:val="center"/>
          </w:tcPr>
          <w:p w14:paraId="6C419F95" w14:textId="77777777" w:rsidR="00FB0E1E" w:rsidRPr="006E516E" w:rsidRDefault="00FB0E1E" w:rsidP="00EC1104">
            <w:pPr>
              <w:spacing w:after="0" w:line="240" w:lineRule="auto"/>
              <w:jc w:val="center"/>
              <w:rPr>
                <w:rFonts w:cstheme="minorHAnsi"/>
                <w:b/>
                <w:color w:val="FFFFFF" w:themeColor="background1"/>
                <w:sz w:val="16"/>
                <w:szCs w:val="16"/>
                <w:lang w:val="es-CR"/>
              </w:rPr>
            </w:pPr>
            <w:r>
              <w:rPr>
                <w:rFonts w:cstheme="minorHAnsi"/>
                <w:sz w:val="16"/>
                <w:szCs w:val="16"/>
                <w:lang w:val="es-CR"/>
              </w:rPr>
              <w:t>1.</w:t>
            </w:r>
            <w:r w:rsidRPr="001221DF">
              <w:rPr>
                <w:rFonts w:cstheme="minorHAnsi"/>
                <w:sz w:val="16"/>
                <w:szCs w:val="16"/>
                <w:lang w:val="es-CR"/>
              </w:rPr>
              <w:t xml:space="preserve"> Impuesto sobre la Renta </w:t>
            </w:r>
            <w:r>
              <w:rPr>
                <w:rFonts w:cstheme="minorHAnsi"/>
                <w:sz w:val="16"/>
                <w:szCs w:val="16"/>
                <w:lang w:val="es-CR"/>
              </w:rPr>
              <w:t>Asalariados Ley 11-92</w:t>
            </w:r>
          </w:p>
        </w:tc>
        <w:tc>
          <w:tcPr>
            <w:tcW w:w="1538" w:type="dxa"/>
            <w:shd w:val="clear" w:color="auto" w:fill="000000" w:themeFill="text1"/>
            <w:vAlign w:val="center"/>
          </w:tcPr>
          <w:p w14:paraId="2C93FEC2" w14:textId="77777777" w:rsidR="00FB0E1E" w:rsidRPr="006E516E" w:rsidRDefault="00FB0E1E" w:rsidP="00EC1104">
            <w:pPr>
              <w:spacing w:after="0" w:line="240" w:lineRule="auto"/>
              <w:jc w:val="center"/>
              <w:rPr>
                <w:rFonts w:cstheme="minorHAnsi"/>
                <w:b/>
                <w:color w:val="FFFFFF" w:themeColor="background1"/>
                <w:sz w:val="16"/>
                <w:szCs w:val="16"/>
                <w:lang w:val="es-CR"/>
              </w:rPr>
            </w:pPr>
            <w:r w:rsidRPr="00424281">
              <w:rPr>
                <w:rFonts w:cstheme="minorHAnsi"/>
                <w:sz w:val="16"/>
                <w:szCs w:val="16"/>
                <w:lang w:val="es-CR"/>
              </w:rPr>
              <w:t>RD$932,875,818</w:t>
            </w:r>
          </w:p>
        </w:tc>
        <w:tc>
          <w:tcPr>
            <w:tcW w:w="1539" w:type="dxa"/>
            <w:shd w:val="clear" w:color="auto" w:fill="000000" w:themeFill="text1"/>
            <w:vAlign w:val="center"/>
          </w:tcPr>
          <w:p w14:paraId="44A1140B" w14:textId="77777777" w:rsidR="00FB0E1E" w:rsidRPr="006E516E" w:rsidRDefault="00FB0E1E" w:rsidP="00EC1104">
            <w:pPr>
              <w:spacing w:after="0" w:line="240" w:lineRule="auto"/>
              <w:jc w:val="center"/>
              <w:rPr>
                <w:rFonts w:cstheme="minorHAnsi"/>
                <w:b/>
                <w:color w:val="FFFFFF" w:themeColor="background1"/>
                <w:sz w:val="16"/>
                <w:szCs w:val="16"/>
                <w:lang w:val="es-CR"/>
              </w:rPr>
            </w:pPr>
            <w:r w:rsidRPr="00424281">
              <w:rPr>
                <w:rFonts w:cstheme="minorHAnsi"/>
                <w:sz w:val="16"/>
                <w:szCs w:val="16"/>
                <w:lang w:val="es-CR"/>
              </w:rPr>
              <w:t>RD$839,775,528</w:t>
            </w:r>
          </w:p>
        </w:tc>
        <w:tc>
          <w:tcPr>
            <w:tcW w:w="1600" w:type="dxa"/>
            <w:shd w:val="clear" w:color="auto" w:fill="000000" w:themeFill="text1"/>
            <w:vAlign w:val="center"/>
          </w:tcPr>
          <w:p w14:paraId="728AD358" w14:textId="77777777" w:rsidR="00FB0E1E" w:rsidRPr="006E516E" w:rsidRDefault="00FB0E1E" w:rsidP="00EC1104">
            <w:pPr>
              <w:spacing w:after="0" w:line="240" w:lineRule="auto"/>
              <w:jc w:val="center"/>
              <w:rPr>
                <w:rFonts w:cstheme="minorHAnsi"/>
                <w:b/>
                <w:color w:val="FFFFFF" w:themeColor="background1"/>
                <w:sz w:val="16"/>
                <w:szCs w:val="16"/>
                <w:lang w:val="es-CR"/>
              </w:rPr>
            </w:pPr>
            <w:r w:rsidRPr="001221DF">
              <w:rPr>
                <w:rFonts w:cstheme="minorHAnsi"/>
                <w:sz w:val="16"/>
                <w:szCs w:val="16"/>
                <w:lang w:val="es-CR"/>
              </w:rPr>
              <w:t xml:space="preserve">       RD$939,243,608 </w:t>
            </w:r>
          </w:p>
        </w:tc>
        <w:tc>
          <w:tcPr>
            <w:tcW w:w="1600" w:type="dxa"/>
            <w:shd w:val="clear" w:color="auto" w:fill="000000" w:themeFill="text1"/>
            <w:vAlign w:val="center"/>
          </w:tcPr>
          <w:p w14:paraId="52DABFA5" w14:textId="77777777" w:rsidR="00FB0E1E" w:rsidRDefault="00FB0E1E" w:rsidP="00EC1104">
            <w:pPr>
              <w:spacing w:after="0" w:line="240" w:lineRule="auto"/>
              <w:jc w:val="center"/>
              <w:rPr>
                <w:rFonts w:cstheme="minorHAnsi"/>
                <w:b/>
                <w:color w:val="FFFFFF" w:themeColor="background1"/>
                <w:sz w:val="16"/>
                <w:szCs w:val="16"/>
                <w:lang w:val="es-CR"/>
              </w:rPr>
            </w:pPr>
            <w:r w:rsidRPr="001221DF">
              <w:rPr>
                <w:rFonts w:cstheme="minorHAnsi"/>
                <w:sz w:val="16"/>
                <w:szCs w:val="16"/>
                <w:lang w:val="es-CR"/>
              </w:rPr>
              <w:t>RD$</w:t>
            </w:r>
            <w:r w:rsidRPr="007A5D54">
              <w:rPr>
                <w:rFonts w:cstheme="minorHAnsi"/>
                <w:sz w:val="16"/>
                <w:szCs w:val="16"/>
                <w:lang w:val="es-CR"/>
              </w:rPr>
              <w:t>898,503,381</w:t>
            </w:r>
          </w:p>
        </w:tc>
      </w:tr>
      <w:tr w:rsidR="00FB0E1E" w:rsidRPr="001221DF" w14:paraId="3A250E51" w14:textId="77777777" w:rsidTr="00EC1104">
        <w:trPr>
          <w:cnfStyle w:val="000000010000" w:firstRow="0" w:lastRow="0" w:firstColumn="0" w:lastColumn="0" w:oddVBand="0" w:evenVBand="0" w:oddHBand="0" w:evenHBand="1" w:firstRowFirstColumn="0" w:firstRowLastColumn="0" w:lastRowFirstColumn="0" w:lastRowLastColumn="0"/>
          <w:trHeight w:val="432"/>
        </w:trPr>
        <w:tc>
          <w:tcPr>
            <w:tcW w:w="4916" w:type="dxa"/>
            <w:shd w:val="clear" w:color="auto" w:fill="auto"/>
            <w:vAlign w:val="center"/>
          </w:tcPr>
          <w:p w14:paraId="17FBF8A0" w14:textId="77777777" w:rsidR="00FB0E1E" w:rsidRPr="001221DF" w:rsidRDefault="00FB0E1E" w:rsidP="00EC1104">
            <w:pPr>
              <w:spacing w:after="0" w:line="240" w:lineRule="auto"/>
              <w:ind w:left="57"/>
              <w:rPr>
                <w:rFonts w:cstheme="minorHAnsi"/>
                <w:sz w:val="16"/>
                <w:szCs w:val="16"/>
                <w:lang w:val="es-CR"/>
              </w:rPr>
            </w:pPr>
            <w:r>
              <w:rPr>
                <w:rFonts w:cstheme="minorHAnsi"/>
                <w:sz w:val="16"/>
                <w:szCs w:val="16"/>
                <w:lang w:val="es-CR"/>
              </w:rPr>
              <w:t>2</w:t>
            </w:r>
            <w:r w:rsidRPr="001221DF">
              <w:rPr>
                <w:rFonts w:cstheme="minorHAnsi"/>
                <w:sz w:val="16"/>
                <w:szCs w:val="16"/>
                <w:lang w:val="es-CR"/>
              </w:rPr>
              <w:t>. Impuesto Sobre la Renta de  Empresas</w:t>
            </w:r>
            <w:r>
              <w:rPr>
                <w:rFonts w:cstheme="minorHAnsi"/>
                <w:sz w:val="16"/>
                <w:szCs w:val="16"/>
                <w:lang w:val="es-CR"/>
              </w:rPr>
              <w:t xml:space="preserve"> Ley 11-92 </w:t>
            </w:r>
          </w:p>
        </w:tc>
        <w:tc>
          <w:tcPr>
            <w:tcW w:w="1538" w:type="dxa"/>
            <w:shd w:val="clear" w:color="auto" w:fill="auto"/>
            <w:vAlign w:val="center"/>
          </w:tcPr>
          <w:p w14:paraId="387DD9AF"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11,417,608,250</w:t>
            </w:r>
          </w:p>
        </w:tc>
        <w:tc>
          <w:tcPr>
            <w:tcW w:w="1539" w:type="dxa"/>
            <w:shd w:val="clear" w:color="auto" w:fill="auto"/>
            <w:vAlign w:val="center"/>
          </w:tcPr>
          <w:p w14:paraId="4F14D3F5"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4,818,984,890</w:t>
            </w:r>
          </w:p>
        </w:tc>
        <w:tc>
          <w:tcPr>
            <w:tcW w:w="1600" w:type="dxa"/>
            <w:shd w:val="clear" w:color="auto" w:fill="auto"/>
            <w:vAlign w:val="center"/>
          </w:tcPr>
          <w:p w14:paraId="6D143F7C"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 xml:space="preserve">3,671,563,275 </w:t>
            </w:r>
          </w:p>
        </w:tc>
        <w:tc>
          <w:tcPr>
            <w:tcW w:w="1600" w:type="dxa"/>
            <w:vAlign w:val="center"/>
          </w:tcPr>
          <w:p w14:paraId="3CD45DF3"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C45714">
              <w:rPr>
                <w:rFonts w:cstheme="minorHAnsi"/>
                <w:sz w:val="16"/>
                <w:szCs w:val="16"/>
                <w:lang w:val="es-CR"/>
              </w:rPr>
              <w:t>6,221,602,419</w:t>
            </w:r>
          </w:p>
        </w:tc>
      </w:tr>
      <w:tr w:rsidR="00FB0E1E" w:rsidRPr="001221DF" w14:paraId="5DFBB2CC" w14:textId="77777777" w:rsidTr="00EC1104">
        <w:trPr>
          <w:trHeight w:val="432"/>
        </w:trPr>
        <w:tc>
          <w:tcPr>
            <w:tcW w:w="4916" w:type="dxa"/>
            <w:shd w:val="clear" w:color="auto" w:fill="FFFFFF" w:themeFill="background1"/>
            <w:vAlign w:val="center"/>
          </w:tcPr>
          <w:p w14:paraId="3AA30780" w14:textId="77777777" w:rsidR="00FB0E1E" w:rsidRPr="00DF6DD3" w:rsidRDefault="00FB0E1E" w:rsidP="00EC1104">
            <w:pPr>
              <w:spacing w:after="0" w:line="240" w:lineRule="auto"/>
              <w:ind w:left="57"/>
              <w:rPr>
                <w:rFonts w:cstheme="minorHAnsi"/>
                <w:sz w:val="16"/>
                <w:szCs w:val="16"/>
                <w:lang w:val="es-CR"/>
              </w:rPr>
            </w:pPr>
            <w:r>
              <w:rPr>
                <w:rFonts w:cstheme="minorHAnsi"/>
                <w:sz w:val="16"/>
                <w:szCs w:val="16"/>
                <w:lang w:val="es-CR"/>
              </w:rPr>
              <w:t>3</w:t>
            </w:r>
            <w:r w:rsidRPr="005573BA">
              <w:rPr>
                <w:rFonts w:cstheme="minorHAnsi"/>
                <w:sz w:val="16"/>
                <w:szCs w:val="16"/>
                <w:lang w:val="es-CR"/>
              </w:rPr>
              <w:t>. Impuesto</w:t>
            </w:r>
            <w:r w:rsidRPr="00DF6DD3">
              <w:rPr>
                <w:rFonts w:cstheme="minorHAnsi"/>
                <w:sz w:val="16"/>
                <w:szCs w:val="16"/>
                <w:lang w:val="es-CR"/>
              </w:rPr>
              <w:t xml:space="preserve"> </w:t>
            </w:r>
            <w:r>
              <w:rPr>
                <w:rFonts w:cstheme="minorHAnsi"/>
                <w:sz w:val="16"/>
                <w:szCs w:val="16"/>
                <w:lang w:val="es-CR"/>
              </w:rPr>
              <w:t xml:space="preserve">a la Participación en las </w:t>
            </w:r>
            <w:r w:rsidRPr="00DF6DD3">
              <w:rPr>
                <w:rFonts w:cstheme="minorHAnsi"/>
                <w:sz w:val="16"/>
                <w:szCs w:val="16"/>
                <w:lang w:val="es-CR"/>
              </w:rPr>
              <w:t xml:space="preserve"> </w:t>
            </w:r>
            <w:r w:rsidRPr="005573BA">
              <w:rPr>
                <w:rFonts w:cstheme="minorHAnsi"/>
                <w:sz w:val="16"/>
                <w:szCs w:val="16"/>
                <w:lang w:val="es-CR"/>
              </w:rPr>
              <w:t>Utilidades Netas</w:t>
            </w:r>
            <w:r>
              <w:rPr>
                <w:rFonts w:cstheme="minorHAnsi"/>
                <w:sz w:val="16"/>
                <w:szCs w:val="16"/>
                <w:lang w:val="es-CR"/>
              </w:rPr>
              <w:t xml:space="preserve"> (PUN)</w:t>
            </w:r>
            <w:r w:rsidRPr="005573BA">
              <w:rPr>
                <w:rFonts w:cstheme="minorHAnsi"/>
                <w:sz w:val="16"/>
                <w:szCs w:val="16"/>
                <w:lang w:val="es-CR"/>
              </w:rPr>
              <w:t xml:space="preserve"> Minera</w:t>
            </w:r>
            <w:r w:rsidRPr="00DF6DD3">
              <w:rPr>
                <w:rFonts w:cstheme="minorHAnsi"/>
                <w:sz w:val="16"/>
                <w:szCs w:val="16"/>
                <w:lang w:val="es-CR"/>
              </w:rPr>
              <w:t>s</w:t>
            </w:r>
          </w:p>
        </w:tc>
        <w:tc>
          <w:tcPr>
            <w:tcW w:w="1538" w:type="dxa"/>
            <w:shd w:val="clear" w:color="auto" w:fill="FFFFFF" w:themeFill="background1"/>
            <w:vAlign w:val="center"/>
          </w:tcPr>
          <w:p w14:paraId="1B639DAF" w14:textId="77777777" w:rsidR="00FB0E1E" w:rsidRPr="00DF6DD3" w:rsidRDefault="00FB0E1E" w:rsidP="00EC1104">
            <w:pPr>
              <w:tabs>
                <w:tab w:val="decimal" w:pos="1350"/>
              </w:tabs>
              <w:spacing w:after="0" w:line="240" w:lineRule="auto"/>
              <w:jc w:val="both"/>
              <w:rPr>
                <w:rFonts w:cstheme="minorHAnsi"/>
                <w:sz w:val="16"/>
                <w:szCs w:val="16"/>
                <w:lang w:val="es-CR"/>
              </w:rPr>
            </w:pPr>
            <w:r w:rsidRPr="00DF6DD3">
              <w:rPr>
                <w:rFonts w:cstheme="minorHAnsi"/>
                <w:sz w:val="16"/>
                <w:szCs w:val="16"/>
                <w:lang w:val="es-CR"/>
              </w:rPr>
              <w:t>5,091,591,445</w:t>
            </w:r>
          </w:p>
        </w:tc>
        <w:tc>
          <w:tcPr>
            <w:tcW w:w="1539" w:type="dxa"/>
            <w:shd w:val="clear" w:color="auto" w:fill="FFFFFF" w:themeFill="background1"/>
            <w:vAlign w:val="center"/>
          </w:tcPr>
          <w:p w14:paraId="57A4F06E" w14:textId="77777777" w:rsidR="00FB0E1E" w:rsidRPr="00DF6DD3" w:rsidRDefault="00FB0E1E" w:rsidP="00EC1104">
            <w:pPr>
              <w:tabs>
                <w:tab w:val="decimal" w:pos="1350"/>
              </w:tabs>
              <w:spacing w:after="0" w:line="240" w:lineRule="auto"/>
              <w:jc w:val="both"/>
              <w:rPr>
                <w:rFonts w:cstheme="minorHAnsi"/>
                <w:sz w:val="16"/>
                <w:szCs w:val="16"/>
                <w:lang w:val="es-CR"/>
              </w:rPr>
            </w:pPr>
            <w:r w:rsidRPr="00DF6DD3">
              <w:rPr>
                <w:rFonts w:cstheme="minorHAnsi"/>
                <w:sz w:val="16"/>
                <w:szCs w:val="16"/>
                <w:lang w:val="es-CR"/>
              </w:rPr>
              <w:t>2,913,030,618</w:t>
            </w:r>
          </w:p>
        </w:tc>
        <w:tc>
          <w:tcPr>
            <w:tcW w:w="1600" w:type="dxa"/>
            <w:shd w:val="clear" w:color="auto" w:fill="FFFFFF" w:themeFill="background1"/>
            <w:vAlign w:val="center"/>
          </w:tcPr>
          <w:p w14:paraId="6DA88C17"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DF6DD3">
              <w:rPr>
                <w:rFonts w:cstheme="minorHAnsi"/>
                <w:sz w:val="16"/>
                <w:szCs w:val="16"/>
                <w:lang w:val="es-CR"/>
              </w:rPr>
              <w:t xml:space="preserve">    2,550,523,736</w:t>
            </w:r>
            <w:r w:rsidRPr="001221DF">
              <w:rPr>
                <w:rFonts w:cstheme="minorHAnsi"/>
                <w:sz w:val="16"/>
                <w:szCs w:val="16"/>
                <w:lang w:val="es-CR"/>
              </w:rPr>
              <w:t xml:space="preserve"> </w:t>
            </w:r>
          </w:p>
        </w:tc>
        <w:tc>
          <w:tcPr>
            <w:tcW w:w="1600" w:type="dxa"/>
            <w:shd w:val="clear" w:color="auto" w:fill="FFFFFF" w:themeFill="background1"/>
            <w:vAlign w:val="center"/>
          </w:tcPr>
          <w:p w14:paraId="76135047" w14:textId="77777777" w:rsidR="00FB0E1E" w:rsidRPr="00DF6DD3" w:rsidRDefault="00FB0E1E" w:rsidP="00EC1104">
            <w:pPr>
              <w:tabs>
                <w:tab w:val="decimal" w:pos="1350"/>
              </w:tabs>
              <w:spacing w:after="0" w:line="240" w:lineRule="auto"/>
              <w:ind w:right="57"/>
              <w:jc w:val="both"/>
              <w:rPr>
                <w:rFonts w:cstheme="minorHAnsi"/>
                <w:sz w:val="16"/>
                <w:szCs w:val="16"/>
                <w:lang w:val="es-CR"/>
              </w:rPr>
            </w:pPr>
            <w:r w:rsidRPr="00C45714">
              <w:rPr>
                <w:rFonts w:cstheme="minorHAnsi"/>
                <w:sz w:val="16"/>
                <w:szCs w:val="16"/>
                <w:lang w:val="es-CR"/>
              </w:rPr>
              <w:t>7,104,287,717</w:t>
            </w:r>
          </w:p>
        </w:tc>
      </w:tr>
      <w:tr w:rsidR="00FB0E1E" w:rsidRPr="001221DF" w14:paraId="5CBB93B5" w14:textId="77777777" w:rsidTr="00EC1104">
        <w:trPr>
          <w:cnfStyle w:val="000000010000" w:firstRow="0" w:lastRow="0" w:firstColumn="0" w:lastColumn="0" w:oddVBand="0" w:evenVBand="0" w:oddHBand="0" w:evenHBand="1" w:firstRowFirstColumn="0" w:firstRowLastColumn="0" w:lastRowFirstColumn="0" w:lastRowLastColumn="0"/>
          <w:trHeight w:val="432"/>
        </w:trPr>
        <w:tc>
          <w:tcPr>
            <w:tcW w:w="4916" w:type="dxa"/>
            <w:vAlign w:val="center"/>
          </w:tcPr>
          <w:p w14:paraId="1C071175" w14:textId="77777777" w:rsidR="00FB0E1E" w:rsidRPr="001221DF" w:rsidRDefault="00FB0E1E" w:rsidP="00EC1104">
            <w:pPr>
              <w:spacing w:after="0" w:line="240" w:lineRule="auto"/>
              <w:ind w:left="57"/>
              <w:rPr>
                <w:rFonts w:cstheme="minorHAnsi"/>
                <w:sz w:val="16"/>
                <w:szCs w:val="16"/>
                <w:lang w:val="es-CR"/>
              </w:rPr>
            </w:pPr>
            <w:r>
              <w:rPr>
                <w:rFonts w:cstheme="minorHAnsi"/>
                <w:sz w:val="16"/>
                <w:szCs w:val="16"/>
                <w:lang w:val="es-CR"/>
              </w:rPr>
              <w:t>4</w:t>
            </w:r>
            <w:r w:rsidRPr="001221DF">
              <w:rPr>
                <w:rFonts w:cstheme="minorHAnsi"/>
                <w:sz w:val="16"/>
                <w:szCs w:val="16"/>
                <w:lang w:val="es-CR"/>
              </w:rPr>
              <w:t xml:space="preserve">. </w:t>
            </w:r>
            <w:r>
              <w:rPr>
                <w:rFonts w:cstheme="minorHAnsi"/>
                <w:sz w:val="16"/>
                <w:szCs w:val="16"/>
                <w:lang w:val="es-CR"/>
              </w:rPr>
              <w:t xml:space="preserve">Impuesto al Retorno  Neto </w:t>
            </w:r>
            <w:r w:rsidRPr="001221DF">
              <w:rPr>
                <w:rFonts w:cstheme="minorHAnsi"/>
                <w:sz w:val="16"/>
                <w:szCs w:val="16"/>
                <w:lang w:val="es-CR"/>
              </w:rPr>
              <w:t xml:space="preserve">de Fundición Minera </w:t>
            </w:r>
            <w:r>
              <w:rPr>
                <w:rFonts w:cstheme="minorHAnsi"/>
                <w:sz w:val="16"/>
                <w:szCs w:val="16"/>
                <w:lang w:val="es-CR"/>
              </w:rPr>
              <w:t>(RNF)</w:t>
            </w:r>
          </w:p>
        </w:tc>
        <w:tc>
          <w:tcPr>
            <w:tcW w:w="1538" w:type="dxa"/>
            <w:vAlign w:val="center"/>
          </w:tcPr>
          <w:p w14:paraId="563564B5" w14:textId="77777777" w:rsidR="00FB0E1E" w:rsidRDefault="00FB0E1E" w:rsidP="00EC1104">
            <w:pPr>
              <w:tabs>
                <w:tab w:val="decimal" w:pos="1350"/>
              </w:tabs>
              <w:spacing w:after="0" w:line="240" w:lineRule="auto"/>
              <w:jc w:val="both"/>
              <w:rPr>
                <w:rFonts w:cstheme="minorHAnsi"/>
                <w:sz w:val="16"/>
                <w:szCs w:val="16"/>
                <w:lang w:val="es-CR"/>
              </w:rPr>
            </w:pPr>
          </w:p>
          <w:p w14:paraId="59655E3A" w14:textId="77777777" w:rsidR="00FB0E1E" w:rsidRPr="00424281" w:rsidRDefault="00FB0E1E" w:rsidP="00EC1104">
            <w:pPr>
              <w:tabs>
                <w:tab w:val="decimal" w:pos="1350"/>
              </w:tabs>
              <w:spacing w:after="0" w:line="240" w:lineRule="auto"/>
              <w:jc w:val="both"/>
              <w:rPr>
                <w:rFonts w:cstheme="minorHAnsi"/>
                <w:sz w:val="16"/>
                <w:szCs w:val="16"/>
                <w:lang w:val="es-CR"/>
              </w:rPr>
            </w:pPr>
            <w:r>
              <w:rPr>
                <w:rFonts w:cstheme="minorHAnsi"/>
                <w:sz w:val="16"/>
                <w:szCs w:val="16"/>
                <w:lang w:val="es-CR"/>
              </w:rPr>
              <w:t>5,665,405,714</w:t>
            </w:r>
          </w:p>
        </w:tc>
        <w:tc>
          <w:tcPr>
            <w:tcW w:w="1539" w:type="dxa"/>
            <w:vAlign w:val="center"/>
          </w:tcPr>
          <w:p w14:paraId="20DCB52F"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2,224,968,029</w:t>
            </w:r>
          </w:p>
        </w:tc>
        <w:tc>
          <w:tcPr>
            <w:tcW w:w="1600" w:type="dxa"/>
            <w:vAlign w:val="center"/>
          </w:tcPr>
          <w:p w14:paraId="4E1F84F2"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 xml:space="preserve">     2,245,151,146 </w:t>
            </w:r>
          </w:p>
        </w:tc>
        <w:tc>
          <w:tcPr>
            <w:tcW w:w="1600" w:type="dxa"/>
            <w:vAlign w:val="center"/>
          </w:tcPr>
          <w:p w14:paraId="2A3C0C96"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C45714">
              <w:rPr>
                <w:rFonts w:cstheme="minorHAnsi"/>
                <w:sz w:val="16"/>
                <w:szCs w:val="16"/>
                <w:lang w:val="es-CR"/>
              </w:rPr>
              <w:t xml:space="preserve">      2,158,700,796</w:t>
            </w:r>
          </w:p>
        </w:tc>
      </w:tr>
      <w:tr w:rsidR="00FB0E1E" w:rsidRPr="001221DF" w14:paraId="689E958B" w14:textId="77777777" w:rsidTr="00EC1104">
        <w:trPr>
          <w:trHeight w:val="432"/>
        </w:trPr>
        <w:tc>
          <w:tcPr>
            <w:tcW w:w="4916" w:type="dxa"/>
            <w:shd w:val="clear" w:color="auto" w:fill="FFFFFF" w:themeFill="background1"/>
            <w:vAlign w:val="center"/>
          </w:tcPr>
          <w:p w14:paraId="231E6FF5" w14:textId="77777777" w:rsidR="00FB0E1E" w:rsidRPr="00EC0706" w:rsidRDefault="00FB0E1E" w:rsidP="00EC1104">
            <w:pPr>
              <w:spacing w:after="0" w:line="240" w:lineRule="auto"/>
              <w:ind w:left="57"/>
              <w:rPr>
                <w:rFonts w:cstheme="minorHAnsi"/>
                <w:sz w:val="16"/>
                <w:szCs w:val="16"/>
                <w:lang w:val="es-CR"/>
              </w:rPr>
            </w:pPr>
            <w:r>
              <w:rPr>
                <w:rFonts w:cstheme="minorHAnsi"/>
                <w:sz w:val="16"/>
                <w:szCs w:val="16"/>
                <w:lang w:val="es-CR"/>
              </w:rPr>
              <w:t>5</w:t>
            </w:r>
            <w:r w:rsidRPr="00EC0706">
              <w:rPr>
                <w:rFonts w:cstheme="minorHAnsi"/>
                <w:sz w:val="16"/>
                <w:szCs w:val="16"/>
                <w:lang w:val="es-CR"/>
              </w:rPr>
              <w:t xml:space="preserve">. Permisos para </w:t>
            </w:r>
            <w:r>
              <w:rPr>
                <w:rFonts w:cstheme="minorHAnsi"/>
                <w:sz w:val="16"/>
                <w:szCs w:val="16"/>
                <w:lang w:val="es-CR"/>
              </w:rPr>
              <w:t>E</w:t>
            </w:r>
            <w:r w:rsidRPr="00EC0706">
              <w:rPr>
                <w:rFonts w:cstheme="minorHAnsi"/>
                <w:sz w:val="16"/>
                <w:szCs w:val="16"/>
                <w:lang w:val="es-CR"/>
              </w:rPr>
              <w:t xml:space="preserve">xplotar </w:t>
            </w:r>
            <w:r>
              <w:rPr>
                <w:rFonts w:cstheme="minorHAnsi"/>
                <w:sz w:val="16"/>
                <w:szCs w:val="16"/>
                <w:lang w:val="es-CR"/>
              </w:rPr>
              <w:t>Y</w:t>
            </w:r>
            <w:r w:rsidRPr="00EC0706">
              <w:rPr>
                <w:rFonts w:cstheme="minorHAnsi"/>
                <w:sz w:val="16"/>
                <w:szCs w:val="16"/>
                <w:lang w:val="es-CR"/>
              </w:rPr>
              <w:t xml:space="preserve">acimientos </w:t>
            </w:r>
            <w:r>
              <w:rPr>
                <w:rFonts w:cstheme="minorHAnsi"/>
                <w:sz w:val="16"/>
                <w:szCs w:val="16"/>
                <w:lang w:val="es-CR"/>
              </w:rPr>
              <w:t>M</w:t>
            </w:r>
            <w:r w:rsidRPr="00EC0706">
              <w:rPr>
                <w:rFonts w:cstheme="minorHAnsi"/>
                <w:sz w:val="16"/>
                <w:szCs w:val="16"/>
                <w:lang w:val="es-CR"/>
              </w:rPr>
              <w:t>ineros</w:t>
            </w:r>
          </w:p>
        </w:tc>
        <w:tc>
          <w:tcPr>
            <w:tcW w:w="1538" w:type="dxa"/>
            <w:shd w:val="clear" w:color="auto" w:fill="FFFFFF" w:themeFill="background1"/>
            <w:vAlign w:val="center"/>
          </w:tcPr>
          <w:p w14:paraId="61B9BE61" w14:textId="77777777" w:rsidR="00FB0E1E" w:rsidRPr="00424281" w:rsidRDefault="00FB0E1E" w:rsidP="00EC1104">
            <w:pPr>
              <w:tabs>
                <w:tab w:val="decimal" w:pos="1350"/>
              </w:tabs>
              <w:spacing w:after="0" w:line="240" w:lineRule="auto"/>
              <w:jc w:val="both"/>
              <w:rPr>
                <w:rFonts w:cstheme="minorHAnsi"/>
                <w:sz w:val="16"/>
                <w:szCs w:val="16"/>
                <w:lang w:val="es-CR"/>
              </w:rPr>
            </w:pPr>
          </w:p>
        </w:tc>
        <w:tc>
          <w:tcPr>
            <w:tcW w:w="1539" w:type="dxa"/>
            <w:shd w:val="clear" w:color="auto" w:fill="FFFFFF" w:themeFill="background1"/>
            <w:vAlign w:val="center"/>
          </w:tcPr>
          <w:p w14:paraId="2DC967CE" w14:textId="77777777" w:rsidR="00FB0E1E" w:rsidRPr="00424281" w:rsidRDefault="00FB0E1E" w:rsidP="00EC1104">
            <w:pPr>
              <w:tabs>
                <w:tab w:val="decimal" w:pos="1350"/>
              </w:tabs>
              <w:spacing w:after="0" w:line="240" w:lineRule="auto"/>
              <w:jc w:val="both"/>
              <w:rPr>
                <w:rFonts w:cstheme="minorHAnsi"/>
                <w:sz w:val="16"/>
                <w:szCs w:val="16"/>
                <w:lang w:val="es-CR"/>
              </w:rPr>
            </w:pPr>
          </w:p>
        </w:tc>
        <w:tc>
          <w:tcPr>
            <w:tcW w:w="1600" w:type="dxa"/>
            <w:shd w:val="clear" w:color="auto" w:fill="FFFFFF" w:themeFill="background1"/>
            <w:vAlign w:val="center"/>
          </w:tcPr>
          <w:p w14:paraId="22A01823" w14:textId="77777777" w:rsidR="00FB0E1E" w:rsidRPr="00EC0706" w:rsidRDefault="00FB0E1E" w:rsidP="00EC1104">
            <w:pPr>
              <w:tabs>
                <w:tab w:val="decimal" w:pos="1350"/>
              </w:tabs>
              <w:spacing w:after="0" w:line="240" w:lineRule="auto"/>
              <w:ind w:right="57"/>
              <w:jc w:val="both"/>
              <w:rPr>
                <w:rFonts w:cstheme="minorHAnsi"/>
                <w:sz w:val="16"/>
                <w:szCs w:val="16"/>
                <w:lang w:val="es-CR"/>
              </w:rPr>
            </w:pPr>
          </w:p>
        </w:tc>
        <w:tc>
          <w:tcPr>
            <w:tcW w:w="1600" w:type="dxa"/>
            <w:shd w:val="clear" w:color="auto" w:fill="FFFFFF" w:themeFill="background1"/>
            <w:vAlign w:val="center"/>
          </w:tcPr>
          <w:p w14:paraId="72CAC96F" w14:textId="77777777" w:rsidR="00FB0E1E" w:rsidRDefault="00FB0E1E" w:rsidP="00EC1104">
            <w:pPr>
              <w:tabs>
                <w:tab w:val="decimal" w:pos="1350"/>
              </w:tabs>
              <w:spacing w:after="0" w:line="240" w:lineRule="auto"/>
              <w:ind w:right="57"/>
              <w:jc w:val="both"/>
              <w:rPr>
                <w:rFonts w:cstheme="minorHAnsi"/>
                <w:sz w:val="16"/>
                <w:szCs w:val="16"/>
                <w:lang w:val="es-CR"/>
              </w:rPr>
            </w:pPr>
            <w:r>
              <w:rPr>
                <w:rFonts w:cstheme="minorHAnsi"/>
                <w:sz w:val="16"/>
                <w:szCs w:val="16"/>
                <w:lang w:val="es-CR"/>
              </w:rPr>
              <w:t>-</w:t>
            </w:r>
          </w:p>
        </w:tc>
      </w:tr>
      <w:tr w:rsidR="00FB0E1E" w:rsidRPr="001221DF" w14:paraId="4D843244" w14:textId="77777777" w:rsidTr="00EC1104">
        <w:trPr>
          <w:cnfStyle w:val="000000010000" w:firstRow="0" w:lastRow="0" w:firstColumn="0" w:lastColumn="0" w:oddVBand="0" w:evenVBand="0" w:oddHBand="0" w:evenHBand="1" w:firstRowFirstColumn="0" w:firstRowLastColumn="0" w:lastRowFirstColumn="0" w:lastRowLastColumn="0"/>
          <w:trHeight w:val="432"/>
        </w:trPr>
        <w:tc>
          <w:tcPr>
            <w:tcW w:w="4916" w:type="dxa"/>
            <w:vAlign w:val="center"/>
          </w:tcPr>
          <w:p w14:paraId="26DBD6D4" w14:textId="77777777" w:rsidR="00FB0E1E" w:rsidRPr="001221DF" w:rsidRDefault="00FB0E1E" w:rsidP="00EC1104">
            <w:pPr>
              <w:spacing w:after="0" w:line="240" w:lineRule="auto"/>
              <w:ind w:left="57"/>
              <w:rPr>
                <w:rFonts w:cstheme="minorHAnsi"/>
                <w:sz w:val="16"/>
                <w:szCs w:val="16"/>
                <w:lang w:val="es-CR"/>
              </w:rPr>
            </w:pPr>
          </w:p>
        </w:tc>
        <w:tc>
          <w:tcPr>
            <w:tcW w:w="1538" w:type="dxa"/>
            <w:vAlign w:val="center"/>
          </w:tcPr>
          <w:p w14:paraId="5ACD5AFB" w14:textId="77777777" w:rsidR="00FB0E1E" w:rsidRPr="00424281" w:rsidRDefault="00FB0E1E" w:rsidP="00EC1104">
            <w:pPr>
              <w:tabs>
                <w:tab w:val="decimal" w:pos="1350"/>
              </w:tabs>
              <w:spacing w:after="0" w:line="240" w:lineRule="auto"/>
              <w:jc w:val="both"/>
              <w:rPr>
                <w:rFonts w:cstheme="minorHAnsi"/>
                <w:sz w:val="16"/>
                <w:szCs w:val="16"/>
                <w:lang w:val="es-CR"/>
              </w:rPr>
            </w:pPr>
          </w:p>
        </w:tc>
        <w:tc>
          <w:tcPr>
            <w:tcW w:w="1539" w:type="dxa"/>
            <w:vAlign w:val="center"/>
          </w:tcPr>
          <w:p w14:paraId="13283277" w14:textId="77777777" w:rsidR="00FB0E1E" w:rsidRPr="00424281" w:rsidRDefault="00FB0E1E" w:rsidP="00EC1104">
            <w:pPr>
              <w:tabs>
                <w:tab w:val="decimal" w:pos="1350"/>
              </w:tabs>
              <w:spacing w:after="0" w:line="240" w:lineRule="auto"/>
              <w:jc w:val="both"/>
              <w:rPr>
                <w:rFonts w:cstheme="minorHAnsi"/>
                <w:sz w:val="16"/>
                <w:szCs w:val="16"/>
                <w:lang w:val="es-CR"/>
              </w:rPr>
            </w:pPr>
          </w:p>
        </w:tc>
        <w:tc>
          <w:tcPr>
            <w:tcW w:w="1600" w:type="dxa"/>
            <w:vAlign w:val="center"/>
          </w:tcPr>
          <w:p w14:paraId="0824CC8F"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p>
        </w:tc>
        <w:tc>
          <w:tcPr>
            <w:tcW w:w="1600" w:type="dxa"/>
          </w:tcPr>
          <w:p w14:paraId="06C84ED0"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p>
        </w:tc>
      </w:tr>
      <w:tr w:rsidR="00FB0E1E" w:rsidRPr="001221DF" w14:paraId="65069081" w14:textId="77777777" w:rsidTr="00EC1104">
        <w:trPr>
          <w:trHeight w:val="432"/>
        </w:trPr>
        <w:tc>
          <w:tcPr>
            <w:tcW w:w="4916" w:type="dxa"/>
            <w:shd w:val="clear" w:color="auto" w:fill="FFFFFF" w:themeFill="background1"/>
            <w:vAlign w:val="center"/>
          </w:tcPr>
          <w:p w14:paraId="63893716" w14:textId="77777777" w:rsidR="00FB0E1E" w:rsidRPr="001221DF" w:rsidRDefault="00FB0E1E" w:rsidP="00EC1104">
            <w:pPr>
              <w:spacing w:after="0" w:line="240" w:lineRule="auto"/>
              <w:ind w:left="57"/>
              <w:rPr>
                <w:rFonts w:cstheme="minorHAnsi"/>
                <w:sz w:val="16"/>
                <w:szCs w:val="16"/>
                <w:lang w:val="es-CR"/>
              </w:rPr>
            </w:pPr>
          </w:p>
        </w:tc>
        <w:tc>
          <w:tcPr>
            <w:tcW w:w="1538" w:type="dxa"/>
            <w:shd w:val="clear" w:color="auto" w:fill="FFFFFF" w:themeFill="background1"/>
            <w:vAlign w:val="center"/>
          </w:tcPr>
          <w:p w14:paraId="221345C6" w14:textId="77777777" w:rsidR="00FB0E1E" w:rsidRPr="00424281" w:rsidRDefault="00FB0E1E" w:rsidP="00EC1104">
            <w:pPr>
              <w:tabs>
                <w:tab w:val="decimal" w:pos="1350"/>
              </w:tabs>
              <w:spacing w:after="0" w:line="240" w:lineRule="auto"/>
              <w:jc w:val="both"/>
              <w:rPr>
                <w:rFonts w:cstheme="minorHAnsi"/>
                <w:sz w:val="16"/>
                <w:szCs w:val="16"/>
                <w:lang w:val="es-CR"/>
              </w:rPr>
            </w:pPr>
          </w:p>
        </w:tc>
        <w:tc>
          <w:tcPr>
            <w:tcW w:w="1539" w:type="dxa"/>
            <w:shd w:val="clear" w:color="auto" w:fill="FFFFFF" w:themeFill="background1"/>
            <w:vAlign w:val="center"/>
          </w:tcPr>
          <w:p w14:paraId="58687D4B" w14:textId="77777777" w:rsidR="00FB0E1E" w:rsidRPr="00424281" w:rsidRDefault="00FB0E1E" w:rsidP="00EC1104">
            <w:pPr>
              <w:tabs>
                <w:tab w:val="decimal" w:pos="1350"/>
              </w:tabs>
              <w:spacing w:after="0" w:line="240" w:lineRule="auto"/>
              <w:jc w:val="both"/>
              <w:rPr>
                <w:rFonts w:cstheme="minorHAnsi"/>
                <w:sz w:val="16"/>
                <w:szCs w:val="16"/>
                <w:lang w:val="es-CR"/>
              </w:rPr>
            </w:pPr>
          </w:p>
        </w:tc>
        <w:tc>
          <w:tcPr>
            <w:tcW w:w="1600" w:type="dxa"/>
            <w:shd w:val="clear" w:color="auto" w:fill="FFFFFF" w:themeFill="background1"/>
            <w:vAlign w:val="center"/>
          </w:tcPr>
          <w:p w14:paraId="3B9B8136"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p>
        </w:tc>
        <w:tc>
          <w:tcPr>
            <w:tcW w:w="1600" w:type="dxa"/>
            <w:shd w:val="clear" w:color="auto" w:fill="FFFFFF" w:themeFill="background1"/>
            <w:vAlign w:val="center"/>
          </w:tcPr>
          <w:p w14:paraId="57B8BBB9"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p>
        </w:tc>
      </w:tr>
      <w:tr w:rsidR="00FB0E1E" w:rsidRPr="001221DF" w14:paraId="2E6BEA8D" w14:textId="77777777" w:rsidTr="00EC1104">
        <w:trPr>
          <w:cnfStyle w:val="000000010000" w:firstRow="0" w:lastRow="0" w:firstColumn="0" w:lastColumn="0" w:oddVBand="0" w:evenVBand="0" w:oddHBand="0" w:evenHBand="1" w:firstRowFirstColumn="0" w:firstRowLastColumn="0" w:lastRowFirstColumn="0" w:lastRowLastColumn="0"/>
          <w:trHeight w:val="432"/>
        </w:trPr>
        <w:tc>
          <w:tcPr>
            <w:tcW w:w="4916" w:type="dxa"/>
            <w:vAlign w:val="center"/>
          </w:tcPr>
          <w:p w14:paraId="47E29F12" w14:textId="77777777" w:rsidR="00FB0E1E" w:rsidRPr="001221DF" w:rsidRDefault="00FB0E1E" w:rsidP="00EC1104">
            <w:pPr>
              <w:spacing w:after="0" w:line="240" w:lineRule="auto"/>
              <w:ind w:left="57"/>
              <w:rPr>
                <w:rFonts w:cstheme="minorHAnsi"/>
                <w:sz w:val="16"/>
                <w:szCs w:val="16"/>
                <w:lang w:val="es-CR"/>
              </w:rPr>
            </w:pPr>
            <w:r>
              <w:rPr>
                <w:rFonts w:cstheme="minorHAnsi"/>
                <w:sz w:val="16"/>
                <w:szCs w:val="16"/>
                <w:lang w:val="es-CR"/>
              </w:rPr>
              <w:t>6</w:t>
            </w:r>
            <w:r w:rsidRPr="001221DF">
              <w:rPr>
                <w:rFonts w:cstheme="minorHAnsi"/>
                <w:sz w:val="16"/>
                <w:szCs w:val="16"/>
                <w:lang w:val="es-CR"/>
              </w:rPr>
              <w:t xml:space="preserve">. </w:t>
            </w:r>
            <w:r>
              <w:rPr>
                <w:rFonts w:cstheme="minorHAnsi"/>
                <w:sz w:val="16"/>
                <w:szCs w:val="16"/>
                <w:lang w:val="es-CR"/>
              </w:rPr>
              <w:t xml:space="preserve">Impuestos por </w:t>
            </w:r>
            <w:r w:rsidRPr="001221DF">
              <w:rPr>
                <w:rFonts w:cstheme="minorHAnsi"/>
                <w:sz w:val="16"/>
                <w:szCs w:val="16"/>
                <w:lang w:val="es-CR"/>
              </w:rPr>
              <w:t xml:space="preserve">Intereses Pagados </w:t>
            </w:r>
            <w:r>
              <w:rPr>
                <w:rFonts w:cstheme="minorHAnsi"/>
                <w:sz w:val="16"/>
                <w:szCs w:val="16"/>
                <w:lang w:val="es-CR"/>
              </w:rPr>
              <w:t xml:space="preserve">o Acreditados en el </w:t>
            </w:r>
            <w:r w:rsidRPr="001221DF">
              <w:rPr>
                <w:rFonts w:cstheme="minorHAnsi"/>
                <w:sz w:val="16"/>
                <w:szCs w:val="16"/>
                <w:lang w:val="es-CR"/>
              </w:rPr>
              <w:t>Exterior</w:t>
            </w:r>
          </w:p>
        </w:tc>
        <w:tc>
          <w:tcPr>
            <w:tcW w:w="1538" w:type="dxa"/>
            <w:vAlign w:val="center"/>
          </w:tcPr>
          <w:p w14:paraId="5BFD5931"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160,592,569</w:t>
            </w:r>
          </w:p>
        </w:tc>
        <w:tc>
          <w:tcPr>
            <w:tcW w:w="1539" w:type="dxa"/>
            <w:vAlign w:val="center"/>
          </w:tcPr>
          <w:p w14:paraId="21539CF8" w14:textId="77777777" w:rsidR="00FB0E1E" w:rsidRDefault="00FB0E1E" w:rsidP="00EC1104">
            <w:pPr>
              <w:tabs>
                <w:tab w:val="decimal" w:pos="1350"/>
              </w:tabs>
              <w:spacing w:after="0" w:line="240" w:lineRule="auto"/>
              <w:jc w:val="both"/>
              <w:rPr>
                <w:rFonts w:cstheme="minorHAnsi"/>
                <w:sz w:val="16"/>
                <w:szCs w:val="16"/>
                <w:lang w:val="es-CR"/>
              </w:rPr>
            </w:pPr>
          </w:p>
          <w:p w14:paraId="1FB9ACB7" w14:textId="77777777" w:rsidR="00FB0E1E" w:rsidRPr="00424281" w:rsidRDefault="00FB0E1E" w:rsidP="00EC1104">
            <w:pPr>
              <w:tabs>
                <w:tab w:val="decimal" w:pos="1350"/>
              </w:tabs>
              <w:spacing w:after="0" w:line="240" w:lineRule="auto"/>
              <w:jc w:val="both"/>
              <w:rPr>
                <w:rFonts w:cstheme="minorHAnsi"/>
                <w:sz w:val="16"/>
                <w:szCs w:val="16"/>
                <w:lang w:val="es-CR"/>
              </w:rPr>
            </w:pPr>
            <w:r>
              <w:rPr>
                <w:rFonts w:cstheme="minorHAnsi"/>
                <w:sz w:val="16"/>
                <w:szCs w:val="16"/>
                <w:lang w:val="es-CR"/>
              </w:rPr>
              <w:t>193,436,283</w:t>
            </w:r>
          </w:p>
        </w:tc>
        <w:tc>
          <w:tcPr>
            <w:tcW w:w="1600" w:type="dxa"/>
            <w:vAlign w:val="center"/>
          </w:tcPr>
          <w:p w14:paraId="31239B0F"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 xml:space="preserve">        158,071,878 </w:t>
            </w:r>
          </w:p>
        </w:tc>
        <w:tc>
          <w:tcPr>
            <w:tcW w:w="1600" w:type="dxa"/>
            <w:vAlign w:val="center"/>
          </w:tcPr>
          <w:p w14:paraId="3E00593A"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7A5D54">
              <w:rPr>
                <w:rFonts w:cstheme="minorHAnsi"/>
                <w:sz w:val="16"/>
                <w:szCs w:val="16"/>
                <w:lang w:val="es-CR"/>
              </w:rPr>
              <w:t>222,351,052</w:t>
            </w:r>
          </w:p>
        </w:tc>
      </w:tr>
      <w:tr w:rsidR="00FB0E1E" w:rsidRPr="001221DF" w14:paraId="61B534F8" w14:textId="77777777" w:rsidTr="00EC1104">
        <w:trPr>
          <w:trHeight w:val="432"/>
        </w:trPr>
        <w:tc>
          <w:tcPr>
            <w:tcW w:w="4916" w:type="dxa"/>
            <w:shd w:val="clear" w:color="auto" w:fill="FFFFFF" w:themeFill="background1"/>
            <w:vAlign w:val="center"/>
          </w:tcPr>
          <w:p w14:paraId="7D11ECF3" w14:textId="77777777" w:rsidR="00FB0E1E" w:rsidRPr="001221DF" w:rsidRDefault="00FB0E1E" w:rsidP="00EC1104">
            <w:pPr>
              <w:spacing w:after="0" w:line="240" w:lineRule="auto"/>
              <w:ind w:left="57"/>
              <w:rPr>
                <w:rFonts w:cstheme="minorHAnsi"/>
                <w:sz w:val="16"/>
                <w:szCs w:val="16"/>
                <w:lang w:val="es-CR"/>
              </w:rPr>
            </w:pPr>
            <w:r>
              <w:rPr>
                <w:rFonts w:cstheme="minorHAnsi"/>
                <w:sz w:val="16"/>
                <w:szCs w:val="16"/>
                <w:lang w:val="es-CR"/>
              </w:rPr>
              <w:t>7</w:t>
            </w:r>
            <w:r w:rsidRPr="001221DF">
              <w:rPr>
                <w:rFonts w:cstheme="minorHAnsi"/>
                <w:sz w:val="16"/>
                <w:szCs w:val="16"/>
                <w:lang w:val="es-CR"/>
              </w:rPr>
              <w:t>. Impuestos por Pago</w:t>
            </w:r>
            <w:r>
              <w:rPr>
                <w:rFonts w:cstheme="minorHAnsi"/>
                <w:sz w:val="16"/>
                <w:szCs w:val="16"/>
                <w:lang w:val="es-CR"/>
              </w:rPr>
              <w:t>s</w:t>
            </w:r>
            <w:r w:rsidRPr="001221DF">
              <w:rPr>
                <w:rFonts w:cstheme="minorHAnsi"/>
                <w:sz w:val="16"/>
                <w:szCs w:val="16"/>
                <w:lang w:val="es-CR"/>
              </w:rPr>
              <w:t xml:space="preserve"> </w:t>
            </w:r>
            <w:r>
              <w:rPr>
                <w:rFonts w:cstheme="minorHAnsi"/>
                <w:sz w:val="16"/>
                <w:szCs w:val="16"/>
                <w:lang w:val="es-CR"/>
              </w:rPr>
              <w:t>a</w:t>
            </w:r>
            <w:r w:rsidRPr="001221DF">
              <w:rPr>
                <w:rFonts w:cstheme="minorHAnsi"/>
                <w:sz w:val="16"/>
                <w:szCs w:val="16"/>
                <w:lang w:val="es-CR"/>
              </w:rPr>
              <w:t>l Exterior</w:t>
            </w:r>
            <w:r>
              <w:rPr>
                <w:rFonts w:cstheme="minorHAnsi"/>
                <w:sz w:val="16"/>
                <w:szCs w:val="16"/>
                <w:lang w:val="es-CR"/>
              </w:rPr>
              <w:t xml:space="preserve"> en General</w:t>
            </w:r>
          </w:p>
        </w:tc>
        <w:tc>
          <w:tcPr>
            <w:tcW w:w="1538" w:type="dxa"/>
            <w:shd w:val="clear" w:color="auto" w:fill="FFFFFF" w:themeFill="background1"/>
            <w:vAlign w:val="center"/>
          </w:tcPr>
          <w:p w14:paraId="33BC1C4A"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428,466,796</w:t>
            </w:r>
          </w:p>
        </w:tc>
        <w:tc>
          <w:tcPr>
            <w:tcW w:w="1539" w:type="dxa"/>
            <w:shd w:val="clear" w:color="auto" w:fill="FFFFFF" w:themeFill="background1"/>
            <w:vAlign w:val="center"/>
          </w:tcPr>
          <w:p w14:paraId="52962005" w14:textId="77777777" w:rsidR="00FB0E1E" w:rsidRDefault="00FB0E1E" w:rsidP="00EC1104">
            <w:pPr>
              <w:tabs>
                <w:tab w:val="decimal" w:pos="1350"/>
              </w:tabs>
              <w:spacing w:after="0" w:line="240" w:lineRule="auto"/>
              <w:jc w:val="both"/>
              <w:rPr>
                <w:rFonts w:cstheme="minorHAnsi"/>
                <w:sz w:val="16"/>
                <w:szCs w:val="16"/>
                <w:lang w:val="es-CR"/>
              </w:rPr>
            </w:pPr>
          </w:p>
          <w:p w14:paraId="64573130" w14:textId="77777777" w:rsidR="00FB0E1E" w:rsidRPr="00424281" w:rsidRDefault="00FB0E1E" w:rsidP="00EC1104">
            <w:pPr>
              <w:tabs>
                <w:tab w:val="decimal" w:pos="1350"/>
              </w:tabs>
              <w:spacing w:after="0" w:line="240" w:lineRule="auto"/>
              <w:jc w:val="both"/>
              <w:rPr>
                <w:rFonts w:cstheme="minorHAnsi"/>
                <w:sz w:val="16"/>
                <w:szCs w:val="16"/>
                <w:lang w:val="es-CR"/>
              </w:rPr>
            </w:pPr>
            <w:r>
              <w:rPr>
                <w:rFonts w:cstheme="minorHAnsi"/>
                <w:sz w:val="16"/>
                <w:szCs w:val="16"/>
                <w:lang w:val="es-CR"/>
              </w:rPr>
              <w:t>371,231,180</w:t>
            </w:r>
          </w:p>
        </w:tc>
        <w:tc>
          <w:tcPr>
            <w:tcW w:w="1600" w:type="dxa"/>
            <w:shd w:val="clear" w:color="auto" w:fill="FFFFFF" w:themeFill="background1"/>
            <w:vAlign w:val="center"/>
          </w:tcPr>
          <w:p w14:paraId="0006E252"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330,294,881</w:t>
            </w:r>
          </w:p>
        </w:tc>
        <w:tc>
          <w:tcPr>
            <w:tcW w:w="1600" w:type="dxa"/>
            <w:shd w:val="clear" w:color="auto" w:fill="FFFFFF" w:themeFill="background1"/>
            <w:vAlign w:val="center"/>
          </w:tcPr>
          <w:p w14:paraId="23251C23"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7A5D54">
              <w:rPr>
                <w:rFonts w:cstheme="minorHAnsi"/>
                <w:sz w:val="16"/>
                <w:szCs w:val="16"/>
                <w:lang w:val="es-CR"/>
              </w:rPr>
              <w:t>409,206,984</w:t>
            </w:r>
          </w:p>
        </w:tc>
      </w:tr>
      <w:tr w:rsidR="00FB0E1E" w:rsidRPr="001221DF" w14:paraId="3F23DB3C" w14:textId="77777777" w:rsidTr="00EC1104">
        <w:trPr>
          <w:cnfStyle w:val="000000010000" w:firstRow="0" w:lastRow="0" w:firstColumn="0" w:lastColumn="0" w:oddVBand="0" w:evenVBand="0" w:oddHBand="0" w:evenHBand="1" w:firstRowFirstColumn="0" w:firstRowLastColumn="0" w:lastRowFirstColumn="0" w:lastRowLastColumn="0"/>
          <w:trHeight w:val="432"/>
        </w:trPr>
        <w:tc>
          <w:tcPr>
            <w:tcW w:w="4916" w:type="dxa"/>
            <w:shd w:val="clear" w:color="auto" w:fill="FFFFFF" w:themeFill="background1"/>
            <w:vAlign w:val="center"/>
          </w:tcPr>
          <w:p w14:paraId="7FBDF5CA" w14:textId="77777777" w:rsidR="00FB0E1E" w:rsidRDefault="00FB0E1E" w:rsidP="00EC1104">
            <w:pPr>
              <w:spacing w:after="0" w:line="240" w:lineRule="auto"/>
              <w:ind w:left="57"/>
              <w:rPr>
                <w:rFonts w:cstheme="minorHAnsi"/>
                <w:sz w:val="16"/>
                <w:szCs w:val="16"/>
                <w:lang w:val="es-CR"/>
              </w:rPr>
            </w:pPr>
            <w:r>
              <w:rPr>
                <w:rFonts w:cstheme="minorHAnsi"/>
                <w:sz w:val="16"/>
                <w:szCs w:val="16"/>
                <w:lang w:val="es-CR"/>
              </w:rPr>
              <w:t>8</w:t>
            </w:r>
            <w:r w:rsidRPr="001221DF">
              <w:rPr>
                <w:rFonts w:cstheme="minorHAnsi"/>
                <w:sz w:val="16"/>
                <w:szCs w:val="16"/>
                <w:lang w:val="es-CR"/>
              </w:rPr>
              <w:t>. Impuesto de Superficie</w:t>
            </w:r>
          </w:p>
        </w:tc>
        <w:tc>
          <w:tcPr>
            <w:tcW w:w="1538" w:type="dxa"/>
            <w:shd w:val="clear" w:color="auto" w:fill="FFFFFF" w:themeFill="background1"/>
            <w:vAlign w:val="center"/>
          </w:tcPr>
          <w:p w14:paraId="358B5592"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28,940</w:t>
            </w:r>
          </w:p>
        </w:tc>
        <w:tc>
          <w:tcPr>
            <w:tcW w:w="1539" w:type="dxa"/>
            <w:shd w:val="clear" w:color="auto" w:fill="FFFFFF" w:themeFill="background1"/>
            <w:vAlign w:val="center"/>
          </w:tcPr>
          <w:p w14:paraId="3D5EA060" w14:textId="77777777" w:rsidR="00FB0E1E" w:rsidRPr="00424281" w:rsidDel="005A7925"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28,940</w:t>
            </w:r>
          </w:p>
        </w:tc>
        <w:tc>
          <w:tcPr>
            <w:tcW w:w="1600" w:type="dxa"/>
            <w:shd w:val="clear" w:color="auto" w:fill="FFFFFF" w:themeFill="background1"/>
            <w:vAlign w:val="center"/>
          </w:tcPr>
          <w:p w14:paraId="723B50A6"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 xml:space="preserve">                 28,490 </w:t>
            </w:r>
          </w:p>
        </w:tc>
        <w:tc>
          <w:tcPr>
            <w:tcW w:w="1600" w:type="dxa"/>
            <w:shd w:val="clear" w:color="auto" w:fill="FFFFFF" w:themeFill="background1"/>
          </w:tcPr>
          <w:p w14:paraId="6891DEF9" w14:textId="77777777" w:rsidR="00FB0E1E" w:rsidRPr="007A5D54"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28,490</w:t>
            </w:r>
          </w:p>
        </w:tc>
      </w:tr>
      <w:tr w:rsidR="00FB0E1E" w:rsidRPr="001221DF" w14:paraId="68E1B637" w14:textId="77777777" w:rsidTr="00EC1104">
        <w:trPr>
          <w:trHeight w:val="432"/>
        </w:trPr>
        <w:tc>
          <w:tcPr>
            <w:tcW w:w="4916" w:type="dxa"/>
            <w:vAlign w:val="center"/>
          </w:tcPr>
          <w:p w14:paraId="5D9E7266" w14:textId="77777777" w:rsidR="00FB0E1E" w:rsidRPr="001221DF" w:rsidRDefault="00FB0E1E" w:rsidP="00EC1104">
            <w:pPr>
              <w:spacing w:after="0" w:line="240" w:lineRule="auto"/>
              <w:ind w:left="57"/>
              <w:rPr>
                <w:rFonts w:cstheme="minorHAnsi"/>
                <w:sz w:val="16"/>
                <w:szCs w:val="16"/>
                <w:lang w:val="es-CR"/>
              </w:rPr>
            </w:pPr>
            <w:r>
              <w:rPr>
                <w:rFonts w:cstheme="minorHAnsi"/>
                <w:sz w:val="16"/>
                <w:szCs w:val="16"/>
                <w:lang w:val="es-CR"/>
              </w:rPr>
              <w:t>9</w:t>
            </w:r>
            <w:r w:rsidRPr="001221DF">
              <w:rPr>
                <w:rFonts w:cstheme="minorHAnsi"/>
                <w:sz w:val="16"/>
                <w:szCs w:val="16"/>
                <w:lang w:val="es-CR"/>
              </w:rPr>
              <w:t>. Regalía del 5% FOB</w:t>
            </w:r>
            <w:r>
              <w:rPr>
                <w:rFonts w:cstheme="minorHAnsi"/>
                <w:sz w:val="16"/>
                <w:szCs w:val="16"/>
                <w:lang w:val="es-CR"/>
              </w:rPr>
              <w:t xml:space="preserve"> (DGA)</w:t>
            </w:r>
          </w:p>
        </w:tc>
        <w:tc>
          <w:tcPr>
            <w:tcW w:w="1538" w:type="dxa"/>
            <w:vAlign w:val="center"/>
          </w:tcPr>
          <w:p w14:paraId="22979896"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57,327,767</w:t>
            </w:r>
          </w:p>
        </w:tc>
        <w:tc>
          <w:tcPr>
            <w:tcW w:w="1539" w:type="dxa"/>
            <w:vAlign w:val="center"/>
          </w:tcPr>
          <w:p w14:paraId="2CC56AB1"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103,364,961</w:t>
            </w:r>
          </w:p>
        </w:tc>
        <w:tc>
          <w:tcPr>
            <w:tcW w:w="1600" w:type="dxa"/>
            <w:vAlign w:val="center"/>
          </w:tcPr>
          <w:p w14:paraId="2C9AC49F"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 xml:space="preserve">          437,691,048 </w:t>
            </w:r>
          </w:p>
        </w:tc>
        <w:tc>
          <w:tcPr>
            <w:tcW w:w="1600" w:type="dxa"/>
            <w:vAlign w:val="center"/>
          </w:tcPr>
          <w:p w14:paraId="4875C3B4"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p>
        </w:tc>
      </w:tr>
      <w:tr w:rsidR="00FB0E1E" w:rsidRPr="001221DF" w14:paraId="25CBB0B9" w14:textId="77777777" w:rsidTr="00EC1104">
        <w:trPr>
          <w:cnfStyle w:val="000000010000" w:firstRow="0" w:lastRow="0" w:firstColumn="0" w:lastColumn="0" w:oddVBand="0" w:evenVBand="0" w:oddHBand="0" w:evenHBand="1" w:firstRowFirstColumn="0" w:firstRowLastColumn="0" w:lastRowFirstColumn="0" w:lastRowLastColumn="0"/>
          <w:trHeight w:val="432"/>
        </w:trPr>
        <w:tc>
          <w:tcPr>
            <w:tcW w:w="4916" w:type="dxa"/>
            <w:shd w:val="clear" w:color="auto" w:fill="FFFFFF" w:themeFill="background1"/>
            <w:vAlign w:val="center"/>
          </w:tcPr>
          <w:p w14:paraId="3618566A" w14:textId="77777777" w:rsidR="00FB0E1E" w:rsidRPr="001221DF" w:rsidRDefault="00FB0E1E" w:rsidP="00EC1104">
            <w:pPr>
              <w:spacing w:after="0" w:line="240" w:lineRule="auto"/>
              <w:ind w:left="57"/>
              <w:rPr>
                <w:rFonts w:cstheme="minorHAnsi"/>
                <w:sz w:val="16"/>
                <w:szCs w:val="16"/>
                <w:lang w:val="es-CR"/>
              </w:rPr>
            </w:pPr>
            <w:r>
              <w:rPr>
                <w:rFonts w:cstheme="minorHAnsi"/>
                <w:sz w:val="16"/>
                <w:szCs w:val="16"/>
                <w:lang w:val="es-CR"/>
              </w:rPr>
              <w:t>Revisión de Puntos de Conexión (DGM)</w:t>
            </w:r>
          </w:p>
        </w:tc>
        <w:tc>
          <w:tcPr>
            <w:tcW w:w="1538" w:type="dxa"/>
            <w:shd w:val="clear" w:color="auto" w:fill="FFFFFF" w:themeFill="background1"/>
            <w:vAlign w:val="center"/>
          </w:tcPr>
          <w:p w14:paraId="5EB7F2B4"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34,700</w:t>
            </w:r>
          </w:p>
        </w:tc>
        <w:tc>
          <w:tcPr>
            <w:tcW w:w="1539" w:type="dxa"/>
            <w:shd w:val="clear" w:color="auto" w:fill="FFFFFF" w:themeFill="background1"/>
            <w:vAlign w:val="center"/>
          </w:tcPr>
          <w:p w14:paraId="51E6C732"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 xml:space="preserve">                         217,454 </w:t>
            </w:r>
          </w:p>
        </w:tc>
        <w:tc>
          <w:tcPr>
            <w:tcW w:w="1600" w:type="dxa"/>
            <w:shd w:val="clear" w:color="auto" w:fill="FFFFFF" w:themeFill="background1"/>
            <w:vAlign w:val="center"/>
          </w:tcPr>
          <w:p w14:paraId="1D74A0E8"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Pr>
                <w:rFonts w:cstheme="minorHAnsi"/>
                <w:sz w:val="16"/>
                <w:szCs w:val="16"/>
                <w:lang w:val="es-CR"/>
              </w:rPr>
              <w:t>-</w:t>
            </w:r>
          </w:p>
        </w:tc>
        <w:tc>
          <w:tcPr>
            <w:tcW w:w="1600" w:type="dxa"/>
            <w:shd w:val="clear" w:color="auto" w:fill="FFFFFF" w:themeFill="background1"/>
            <w:vAlign w:val="center"/>
          </w:tcPr>
          <w:p w14:paraId="1E4DB2A9" w14:textId="77777777" w:rsidR="00FB0E1E" w:rsidRDefault="00FB0E1E" w:rsidP="00EC1104">
            <w:pPr>
              <w:tabs>
                <w:tab w:val="decimal" w:pos="1350"/>
              </w:tabs>
              <w:spacing w:after="0" w:line="240" w:lineRule="auto"/>
              <w:ind w:right="57"/>
              <w:jc w:val="both"/>
              <w:rPr>
                <w:rFonts w:cstheme="minorHAnsi"/>
                <w:sz w:val="16"/>
                <w:szCs w:val="16"/>
                <w:lang w:val="es-CR"/>
              </w:rPr>
            </w:pPr>
          </w:p>
        </w:tc>
      </w:tr>
      <w:tr w:rsidR="00FB0E1E" w:rsidRPr="001221DF" w14:paraId="7E1DFDB6" w14:textId="77777777" w:rsidTr="00EC1104">
        <w:trPr>
          <w:trHeight w:val="432"/>
        </w:trPr>
        <w:tc>
          <w:tcPr>
            <w:tcW w:w="4916" w:type="dxa"/>
            <w:vAlign w:val="center"/>
          </w:tcPr>
          <w:p w14:paraId="12476CF2" w14:textId="77777777" w:rsidR="00FB0E1E" w:rsidRPr="001221DF" w:rsidRDefault="00FB0E1E" w:rsidP="00EC1104">
            <w:pPr>
              <w:spacing w:after="0" w:line="240" w:lineRule="auto"/>
              <w:ind w:left="57"/>
              <w:rPr>
                <w:rFonts w:cstheme="minorHAnsi"/>
                <w:sz w:val="16"/>
                <w:szCs w:val="16"/>
                <w:lang w:val="es-CR"/>
              </w:rPr>
            </w:pPr>
            <w:r w:rsidRPr="001221DF">
              <w:rPr>
                <w:rFonts w:cstheme="minorHAnsi"/>
                <w:sz w:val="16"/>
                <w:szCs w:val="16"/>
                <w:lang w:val="es-CR"/>
              </w:rPr>
              <w:t>1</w:t>
            </w:r>
            <w:r>
              <w:rPr>
                <w:rFonts w:cstheme="minorHAnsi"/>
                <w:sz w:val="16"/>
                <w:szCs w:val="16"/>
                <w:lang w:val="es-CR"/>
              </w:rPr>
              <w:t>1</w:t>
            </w:r>
            <w:r w:rsidRPr="001221DF">
              <w:rPr>
                <w:rFonts w:cstheme="minorHAnsi"/>
                <w:sz w:val="16"/>
                <w:szCs w:val="16"/>
                <w:lang w:val="es-CR"/>
              </w:rPr>
              <w:t xml:space="preserve">. </w:t>
            </w:r>
            <w:r>
              <w:rPr>
                <w:rFonts w:cstheme="minorHAnsi"/>
                <w:sz w:val="16"/>
                <w:szCs w:val="16"/>
                <w:lang w:val="es-CR"/>
              </w:rPr>
              <w:t>Solicitud de Exploración (DGM)</w:t>
            </w:r>
          </w:p>
        </w:tc>
        <w:tc>
          <w:tcPr>
            <w:tcW w:w="1538" w:type="dxa"/>
            <w:vAlign w:val="center"/>
          </w:tcPr>
          <w:p w14:paraId="592B3B2E" w14:textId="77777777" w:rsidR="00FB0E1E" w:rsidRPr="00424281" w:rsidRDefault="00FB0E1E" w:rsidP="00EC1104">
            <w:pPr>
              <w:tabs>
                <w:tab w:val="decimal" w:pos="1447"/>
              </w:tabs>
              <w:spacing w:after="0" w:line="240" w:lineRule="auto"/>
              <w:jc w:val="both"/>
              <w:rPr>
                <w:rFonts w:cstheme="minorHAnsi"/>
                <w:sz w:val="16"/>
                <w:szCs w:val="16"/>
                <w:lang w:val="es-CR"/>
              </w:rPr>
            </w:pPr>
          </w:p>
        </w:tc>
        <w:tc>
          <w:tcPr>
            <w:tcW w:w="1539" w:type="dxa"/>
            <w:vAlign w:val="center"/>
          </w:tcPr>
          <w:p w14:paraId="6A8A478C" w14:textId="77777777" w:rsidR="00FB0E1E" w:rsidRPr="00424281" w:rsidRDefault="00FB0E1E" w:rsidP="00EC1104">
            <w:pPr>
              <w:tabs>
                <w:tab w:val="decimal" w:pos="1440"/>
              </w:tabs>
              <w:spacing w:after="0" w:line="240" w:lineRule="auto"/>
              <w:jc w:val="both"/>
              <w:rPr>
                <w:rFonts w:cstheme="minorHAnsi"/>
                <w:sz w:val="16"/>
                <w:szCs w:val="16"/>
                <w:lang w:val="es-CR"/>
              </w:rPr>
            </w:pPr>
          </w:p>
        </w:tc>
        <w:tc>
          <w:tcPr>
            <w:tcW w:w="1600" w:type="dxa"/>
            <w:vAlign w:val="center"/>
          </w:tcPr>
          <w:p w14:paraId="55E7BF04"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p>
        </w:tc>
        <w:tc>
          <w:tcPr>
            <w:tcW w:w="1600" w:type="dxa"/>
            <w:vAlign w:val="center"/>
          </w:tcPr>
          <w:p w14:paraId="3697F1A4" w14:textId="77777777" w:rsidR="00FB0E1E" w:rsidRDefault="00FB0E1E" w:rsidP="00EC1104">
            <w:pPr>
              <w:tabs>
                <w:tab w:val="decimal" w:pos="1350"/>
              </w:tabs>
              <w:spacing w:after="0" w:line="240" w:lineRule="auto"/>
              <w:ind w:right="57"/>
              <w:jc w:val="both"/>
              <w:rPr>
                <w:rFonts w:cstheme="minorHAnsi"/>
                <w:sz w:val="16"/>
                <w:szCs w:val="16"/>
                <w:lang w:val="es-CR"/>
              </w:rPr>
            </w:pPr>
          </w:p>
        </w:tc>
      </w:tr>
      <w:tr w:rsidR="00FB0E1E" w:rsidRPr="001221DF" w14:paraId="6AA1223A" w14:textId="77777777" w:rsidTr="00EC1104">
        <w:trPr>
          <w:cnfStyle w:val="000000010000" w:firstRow="0" w:lastRow="0" w:firstColumn="0" w:lastColumn="0" w:oddVBand="0" w:evenVBand="0" w:oddHBand="0" w:evenHBand="1" w:firstRowFirstColumn="0" w:firstRowLastColumn="0" w:lastRowFirstColumn="0" w:lastRowLastColumn="0"/>
          <w:trHeight w:val="432"/>
        </w:trPr>
        <w:tc>
          <w:tcPr>
            <w:tcW w:w="4916" w:type="dxa"/>
            <w:shd w:val="clear" w:color="auto" w:fill="FFFFFF" w:themeFill="background1"/>
            <w:vAlign w:val="center"/>
          </w:tcPr>
          <w:p w14:paraId="5F9B26DA" w14:textId="77777777" w:rsidR="00FB0E1E" w:rsidRPr="001221DF" w:rsidRDefault="00FB0E1E" w:rsidP="00EC1104">
            <w:pPr>
              <w:spacing w:after="0" w:line="240" w:lineRule="auto"/>
              <w:ind w:left="57"/>
              <w:rPr>
                <w:rFonts w:cstheme="minorHAnsi"/>
                <w:sz w:val="16"/>
                <w:szCs w:val="16"/>
                <w:lang w:val="es-CR"/>
              </w:rPr>
            </w:pPr>
            <w:r w:rsidRPr="001221DF">
              <w:rPr>
                <w:rFonts w:cstheme="minorHAnsi"/>
                <w:sz w:val="16"/>
                <w:szCs w:val="16"/>
                <w:lang w:val="es-CR"/>
              </w:rPr>
              <w:t>1</w:t>
            </w:r>
            <w:r>
              <w:rPr>
                <w:rFonts w:cstheme="minorHAnsi"/>
                <w:sz w:val="16"/>
                <w:szCs w:val="16"/>
                <w:lang w:val="es-CR"/>
              </w:rPr>
              <w:t>2</w:t>
            </w:r>
            <w:r w:rsidRPr="001221DF">
              <w:rPr>
                <w:rFonts w:cstheme="minorHAnsi"/>
                <w:sz w:val="16"/>
                <w:szCs w:val="16"/>
                <w:lang w:val="es-CR"/>
              </w:rPr>
              <w:t>. Tasa por Servicios</w:t>
            </w:r>
            <w:r>
              <w:rPr>
                <w:rFonts w:cstheme="minorHAnsi"/>
                <w:sz w:val="16"/>
                <w:szCs w:val="16"/>
                <w:lang w:val="es-CR"/>
              </w:rPr>
              <w:t xml:space="preserve"> (MEM)</w:t>
            </w:r>
          </w:p>
        </w:tc>
        <w:tc>
          <w:tcPr>
            <w:tcW w:w="1538" w:type="dxa"/>
            <w:shd w:val="clear" w:color="auto" w:fill="FFFFFF" w:themeFill="background1"/>
            <w:vAlign w:val="center"/>
          </w:tcPr>
          <w:p w14:paraId="5E2E5D39"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 xml:space="preserve">                         73,000 </w:t>
            </w:r>
          </w:p>
        </w:tc>
        <w:tc>
          <w:tcPr>
            <w:tcW w:w="1539" w:type="dxa"/>
            <w:shd w:val="clear" w:color="auto" w:fill="FFFFFF" w:themeFill="background1"/>
            <w:vAlign w:val="center"/>
          </w:tcPr>
          <w:p w14:paraId="33BB405B" w14:textId="77777777" w:rsidR="00FB0E1E" w:rsidRPr="00424281" w:rsidRDefault="00FB0E1E" w:rsidP="00EC1104">
            <w:pPr>
              <w:tabs>
                <w:tab w:val="decimal" w:pos="1350"/>
              </w:tabs>
              <w:spacing w:after="0" w:line="240" w:lineRule="auto"/>
              <w:jc w:val="both"/>
              <w:rPr>
                <w:rFonts w:cstheme="minorHAnsi"/>
                <w:sz w:val="16"/>
                <w:szCs w:val="16"/>
                <w:lang w:val="es-CR"/>
              </w:rPr>
            </w:pPr>
            <w:r w:rsidRPr="00424281">
              <w:rPr>
                <w:rFonts w:cstheme="minorHAnsi"/>
                <w:sz w:val="16"/>
                <w:szCs w:val="16"/>
                <w:lang w:val="es-CR"/>
              </w:rPr>
              <w:t xml:space="preserve">                         448,000 </w:t>
            </w:r>
          </w:p>
        </w:tc>
        <w:tc>
          <w:tcPr>
            <w:tcW w:w="1600" w:type="dxa"/>
            <w:shd w:val="clear" w:color="auto" w:fill="FFFFFF" w:themeFill="background1"/>
            <w:vAlign w:val="center"/>
          </w:tcPr>
          <w:p w14:paraId="31A0A512"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1221DF">
              <w:rPr>
                <w:rFonts w:cstheme="minorHAnsi"/>
                <w:sz w:val="16"/>
                <w:szCs w:val="16"/>
                <w:lang w:val="es-CR"/>
              </w:rPr>
              <w:t xml:space="preserve">                 37,000 </w:t>
            </w:r>
          </w:p>
        </w:tc>
        <w:tc>
          <w:tcPr>
            <w:tcW w:w="1600" w:type="dxa"/>
            <w:shd w:val="clear" w:color="auto" w:fill="FFFFFF" w:themeFill="background1"/>
            <w:vAlign w:val="center"/>
          </w:tcPr>
          <w:p w14:paraId="7AE97E59" w14:textId="77777777" w:rsidR="00FB0E1E" w:rsidRPr="001221DF" w:rsidRDefault="00FB0E1E" w:rsidP="00EC1104">
            <w:pPr>
              <w:tabs>
                <w:tab w:val="decimal" w:pos="1350"/>
              </w:tabs>
              <w:spacing w:after="0" w:line="240" w:lineRule="auto"/>
              <w:ind w:right="57"/>
              <w:jc w:val="both"/>
              <w:rPr>
                <w:rFonts w:cstheme="minorHAnsi"/>
                <w:sz w:val="16"/>
                <w:szCs w:val="16"/>
                <w:lang w:val="es-CR"/>
              </w:rPr>
            </w:pPr>
            <w:r w:rsidRPr="007A5D54">
              <w:rPr>
                <w:rFonts w:cstheme="minorHAnsi"/>
                <w:sz w:val="16"/>
                <w:szCs w:val="16"/>
                <w:lang w:val="es-CR"/>
              </w:rPr>
              <w:t>391,000</w:t>
            </w:r>
          </w:p>
        </w:tc>
      </w:tr>
      <w:tr w:rsidR="00FB0E1E" w:rsidRPr="001221DF" w14:paraId="4E7A7045" w14:textId="77777777" w:rsidTr="00EC1104">
        <w:trPr>
          <w:trHeight w:val="432"/>
        </w:trPr>
        <w:tc>
          <w:tcPr>
            <w:tcW w:w="4916" w:type="dxa"/>
            <w:shd w:val="clear" w:color="auto" w:fill="ABADB0" w:themeFill="accent6" w:themeFillTint="99"/>
            <w:vAlign w:val="center"/>
          </w:tcPr>
          <w:p w14:paraId="42AAFBB0" w14:textId="77777777" w:rsidR="00FB0E1E" w:rsidRPr="00976F45" w:rsidRDefault="00FB0E1E" w:rsidP="00EC1104">
            <w:pPr>
              <w:spacing w:after="0" w:line="240" w:lineRule="auto"/>
              <w:jc w:val="right"/>
              <w:rPr>
                <w:rFonts w:cstheme="minorHAnsi"/>
                <w:b/>
                <w:bCs/>
                <w:color w:val="FFFFFF" w:themeColor="background1"/>
                <w:sz w:val="16"/>
                <w:szCs w:val="16"/>
                <w:lang w:val="es-CR"/>
              </w:rPr>
            </w:pPr>
          </w:p>
        </w:tc>
        <w:tc>
          <w:tcPr>
            <w:tcW w:w="1538" w:type="dxa"/>
            <w:shd w:val="clear" w:color="auto" w:fill="ABADB0" w:themeFill="accent6" w:themeFillTint="99"/>
            <w:vAlign w:val="center"/>
          </w:tcPr>
          <w:p w14:paraId="34866901" w14:textId="77777777" w:rsidR="00FB0E1E" w:rsidRPr="00976F45" w:rsidRDefault="00FB0E1E" w:rsidP="00EC1104">
            <w:pPr>
              <w:tabs>
                <w:tab w:val="decimal" w:pos="1350"/>
              </w:tabs>
              <w:spacing w:after="0" w:line="240" w:lineRule="auto"/>
              <w:jc w:val="both"/>
              <w:rPr>
                <w:rFonts w:cstheme="minorHAnsi"/>
                <w:b/>
                <w:bCs/>
                <w:sz w:val="16"/>
                <w:szCs w:val="16"/>
                <w:lang w:val="es-CR"/>
              </w:rPr>
            </w:pPr>
            <w:r w:rsidRPr="00976F45">
              <w:rPr>
                <w:rFonts w:cstheme="minorHAnsi"/>
                <w:b/>
                <w:bCs/>
                <w:sz w:val="16"/>
                <w:szCs w:val="16"/>
                <w:lang w:val="es-CR"/>
              </w:rPr>
              <w:t>RD$</w:t>
            </w:r>
            <w:r>
              <w:rPr>
                <w:rFonts w:cstheme="minorHAnsi"/>
                <w:b/>
                <w:bCs/>
                <w:sz w:val="16"/>
                <w:szCs w:val="16"/>
                <w:lang w:val="es-CR"/>
              </w:rPr>
              <w:t>23,754,004,549</w:t>
            </w:r>
          </w:p>
        </w:tc>
        <w:tc>
          <w:tcPr>
            <w:tcW w:w="1539" w:type="dxa"/>
            <w:shd w:val="clear" w:color="auto" w:fill="ABADB0" w:themeFill="accent6" w:themeFillTint="99"/>
            <w:vAlign w:val="center"/>
          </w:tcPr>
          <w:p w14:paraId="23770B94" w14:textId="77777777" w:rsidR="00FB0E1E" w:rsidRPr="00976F45" w:rsidRDefault="00FB0E1E" w:rsidP="00EC1104">
            <w:pPr>
              <w:tabs>
                <w:tab w:val="decimal" w:pos="1350"/>
              </w:tabs>
              <w:spacing w:after="0" w:line="240" w:lineRule="auto"/>
              <w:jc w:val="both"/>
              <w:rPr>
                <w:rFonts w:cstheme="minorHAnsi"/>
                <w:b/>
                <w:bCs/>
                <w:sz w:val="16"/>
                <w:szCs w:val="16"/>
                <w:lang w:val="es-CR"/>
              </w:rPr>
            </w:pPr>
            <w:r w:rsidRPr="00976F45">
              <w:rPr>
                <w:rFonts w:cstheme="minorHAnsi"/>
                <w:b/>
                <w:bCs/>
                <w:sz w:val="16"/>
                <w:szCs w:val="16"/>
                <w:lang w:val="es-CR"/>
              </w:rPr>
              <w:t>RD$</w:t>
            </w:r>
            <w:r>
              <w:rPr>
                <w:rFonts w:cstheme="minorHAnsi"/>
                <w:b/>
                <w:bCs/>
                <w:sz w:val="16"/>
                <w:szCs w:val="16"/>
                <w:lang w:val="es-CR"/>
              </w:rPr>
              <w:t>11,465,485,433</w:t>
            </w:r>
          </w:p>
        </w:tc>
        <w:tc>
          <w:tcPr>
            <w:tcW w:w="1600" w:type="dxa"/>
            <w:shd w:val="clear" w:color="auto" w:fill="ABADB0" w:themeFill="accent6" w:themeFillTint="99"/>
            <w:vAlign w:val="center"/>
          </w:tcPr>
          <w:p w14:paraId="2903F9CB" w14:textId="77777777" w:rsidR="00FB0E1E" w:rsidRPr="00976F45" w:rsidRDefault="00FB0E1E" w:rsidP="00EC1104">
            <w:pPr>
              <w:tabs>
                <w:tab w:val="decimal" w:pos="1350"/>
              </w:tabs>
              <w:spacing w:after="0" w:line="240" w:lineRule="auto"/>
              <w:ind w:right="57"/>
              <w:jc w:val="both"/>
              <w:rPr>
                <w:rFonts w:cstheme="minorHAnsi"/>
                <w:b/>
                <w:bCs/>
                <w:sz w:val="16"/>
                <w:szCs w:val="16"/>
                <w:lang w:val="es-CR"/>
              </w:rPr>
            </w:pPr>
            <w:r w:rsidRPr="00976F45">
              <w:rPr>
                <w:rFonts w:cstheme="minorHAnsi"/>
                <w:b/>
                <w:bCs/>
                <w:sz w:val="16"/>
                <w:szCs w:val="16"/>
                <w:lang w:val="es-CR"/>
              </w:rPr>
              <w:t>RD$</w:t>
            </w:r>
            <w:r>
              <w:rPr>
                <w:rFonts w:cstheme="minorHAnsi"/>
                <w:b/>
                <w:bCs/>
                <w:sz w:val="16"/>
                <w:szCs w:val="16"/>
                <w:lang w:val="es-CR"/>
              </w:rPr>
              <w:t>10,597,199,439</w:t>
            </w:r>
            <w:r w:rsidRPr="00976F45">
              <w:rPr>
                <w:rFonts w:cstheme="minorHAnsi"/>
                <w:b/>
                <w:bCs/>
                <w:sz w:val="16"/>
                <w:szCs w:val="16"/>
                <w:lang w:val="es-CR"/>
              </w:rPr>
              <w:t xml:space="preserve"> </w:t>
            </w:r>
          </w:p>
        </w:tc>
        <w:tc>
          <w:tcPr>
            <w:tcW w:w="1600" w:type="dxa"/>
            <w:shd w:val="clear" w:color="auto" w:fill="ABADB0" w:themeFill="accent6" w:themeFillTint="99"/>
            <w:vAlign w:val="center"/>
          </w:tcPr>
          <w:p w14:paraId="1892B019" w14:textId="77777777" w:rsidR="00FB0E1E" w:rsidRPr="007A5D54" w:rsidRDefault="00FB0E1E" w:rsidP="00EC1104">
            <w:pPr>
              <w:tabs>
                <w:tab w:val="decimal" w:pos="1350"/>
              </w:tabs>
              <w:spacing w:after="0" w:line="240" w:lineRule="auto"/>
              <w:ind w:right="57"/>
              <w:jc w:val="both"/>
              <w:rPr>
                <w:rFonts w:cstheme="minorHAnsi"/>
                <w:b/>
                <w:bCs/>
                <w:sz w:val="16"/>
                <w:szCs w:val="16"/>
                <w:lang w:val="es-CR"/>
              </w:rPr>
            </w:pPr>
            <w:r>
              <w:rPr>
                <w:rFonts w:cstheme="minorHAnsi"/>
                <w:b/>
                <w:bCs/>
                <w:sz w:val="16"/>
                <w:szCs w:val="16"/>
                <w:lang w:val="es-CR"/>
              </w:rPr>
              <w:t>RD$</w:t>
            </w:r>
            <w:r w:rsidRPr="007A5D54">
              <w:rPr>
                <w:rFonts w:cstheme="minorHAnsi"/>
                <w:b/>
                <w:bCs/>
                <w:sz w:val="16"/>
                <w:szCs w:val="16"/>
                <w:lang w:val="es-CR"/>
              </w:rPr>
              <w:t>17,015,072,962</w:t>
            </w:r>
          </w:p>
        </w:tc>
      </w:tr>
    </w:tbl>
    <w:p w14:paraId="711CA6C8" w14:textId="77777777" w:rsidR="00E90F6E" w:rsidRPr="001221DF" w:rsidRDefault="00E90F6E" w:rsidP="00E90F6E">
      <w:pPr>
        <w:spacing w:after="0" w:line="240" w:lineRule="auto"/>
        <w:ind w:left="91"/>
        <w:rPr>
          <w:rFonts w:cstheme="minorHAnsi"/>
          <w:sz w:val="12"/>
          <w:lang w:val="es-CR"/>
        </w:rPr>
      </w:pPr>
    </w:p>
    <w:p w14:paraId="73374582" w14:textId="77777777" w:rsidR="00E90F6E" w:rsidRPr="001221DF" w:rsidRDefault="00E90F6E" w:rsidP="00E90F6E">
      <w:pPr>
        <w:spacing w:after="0" w:line="240" w:lineRule="auto"/>
        <w:ind w:left="91"/>
        <w:rPr>
          <w:rFonts w:cstheme="minorHAnsi"/>
          <w:sz w:val="12"/>
          <w:lang w:val="es-CR"/>
        </w:rPr>
      </w:pPr>
    </w:p>
    <w:p w14:paraId="2A727A00" w14:textId="77777777" w:rsidR="00E90F6E" w:rsidRPr="001221DF" w:rsidRDefault="00E90F6E" w:rsidP="00E90F6E">
      <w:pPr>
        <w:spacing w:after="0" w:line="240" w:lineRule="auto"/>
        <w:ind w:left="91"/>
        <w:rPr>
          <w:rFonts w:cstheme="minorHAnsi"/>
          <w:sz w:val="12"/>
          <w:lang w:val="es-CR"/>
        </w:rPr>
      </w:pPr>
    </w:p>
    <w:p w14:paraId="04BF0987" w14:textId="77777777" w:rsidR="00E90F6E" w:rsidRPr="001221DF" w:rsidRDefault="00E90F6E" w:rsidP="00E90F6E">
      <w:pPr>
        <w:spacing w:after="0" w:line="240" w:lineRule="auto"/>
        <w:ind w:left="91"/>
        <w:rPr>
          <w:rFonts w:cstheme="minorHAnsi"/>
          <w:sz w:val="12"/>
          <w:lang w:val="es-CR"/>
        </w:rPr>
      </w:pPr>
    </w:p>
    <w:p w14:paraId="2FDD2403" w14:textId="77777777" w:rsidR="00E90F6E" w:rsidRPr="001221DF" w:rsidRDefault="00E90F6E" w:rsidP="00E90F6E">
      <w:pPr>
        <w:spacing w:after="0" w:line="240" w:lineRule="auto"/>
        <w:ind w:left="91"/>
        <w:rPr>
          <w:rFonts w:cstheme="minorHAnsi"/>
          <w:sz w:val="12"/>
          <w:lang w:val="es-CR"/>
        </w:rPr>
      </w:pPr>
    </w:p>
    <w:p w14:paraId="51BB41C2" w14:textId="77777777" w:rsidR="00E90F6E" w:rsidRPr="001221DF" w:rsidRDefault="00E90F6E" w:rsidP="00E90F6E">
      <w:pPr>
        <w:spacing w:after="0" w:line="240" w:lineRule="auto"/>
        <w:ind w:left="91"/>
        <w:rPr>
          <w:rFonts w:cstheme="minorHAnsi"/>
          <w:sz w:val="12"/>
          <w:lang w:val="es-CR"/>
        </w:rPr>
      </w:pPr>
    </w:p>
    <w:p w14:paraId="17D691EF" w14:textId="77777777" w:rsidR="00E90F6E" w:rsidRPr="001221DF" w:rsidRDefault="00E90F6E" w:rsidP="00E90F6E">
      <w:pPr>
        <w:spacing w:after="0" w:line="240" w:lineRule="auto"/>
        <w:ind w:left="91"/>
        <w:rPr>
          <w:rFonts w:cstheme="minorHAnsi"/>
          <w:sz w:val="12"/>
          <w:lang w:val="es-CR"/>
        </w:rPr>
      </w:pPr>
    </w:p>
    <w:p w14:paraId="1DA94B3A" w14:textId="77777777" w:rsidR="00E90F6E" w:rsidRPr="001221DF" w:rsidRDefault="00E90F6E" w:rsidP="00E90F6E">
      <w:pPr>
        <w:spacing w:after="0" w:line="240" w:lineRule="auto"/>
        <w:ind w:left="91"/>
        <w:rPr>
          <w:rFonts w:cstheme="minorHAnsi"/>
          <w:sz w:val="12"/>
          <w:lang w:val="es-CR"/>
        </w:rPr>
      </w:pPr>
    </w:p>
    <w:p w14:paraId="02B7BBE7" w14:textId="77777777" w:rsidR="00E90F6E" w:rsidRPr="001221DF" w:rsidRDefault="00E90F6E" w:rsidP="00E90F6E">
      <w:pPr>
        <w:spacing w:after="0" w:line="240" w:lineRule="auto"/>
        <w:ind w:left="91"/>
        <w:rPr>
          <w:rFonts w:cstheme="minorHAnsi"/>
          <w:sz w:val="12"/>
          <w:lang w:val="es-CR"/>
        </w:rPr>
      </w:pPr>
    </w:p>
    <w:p w14:paraId="5DB03980" w14:textId="77777777" w:rsidR="00E90F6E" w:rsidRPr="001221DF" w:rsidRDefault="00E90F6E" w:rsidP="00E90F6E">
      <w:pPr>
        <w:spacing w:after="0" w:line="240" w:lineRule="auto"/>
        <w:ind w:left="91"/>
        <w:rPr>
          <w:rFonts w:cstheme="minorHAnsi"/>
          <w:sz w:val="12"/>
          <w:lang w:val="es-CR"/>
        </w:rPr>
      </w:pPr>
    </w:p>
    <w:p w14:paraId="4C9AC043" w14:textId="77777777" w:rsidR="00E90F6E" w:rsidRPr="001221DF" w:rsidRDefault="00E90F6E" w:rsidP="00E90F6E">
      <w:pPr>
        <w:spacing w:after="0" w:line="240" w:lineRule="auto"/>
        <w:ind w:left="91"/>
        <w:rPr>
          <w:rFonts w:cstheme="minorHAnsi"/>
          <w:sz w:val="12"/>
          <w:lang w:val="es-CR"/>
        </w:rPr>
      </w:pPr>
    </w:p>
    <w:p w14:paraId="67CEB63C" w14:textId="77777777" w:rsidR="00E90F6E" w:rsidRPr="001221DF" w:rsidRDefault="00E90F6E" w:rsidP="00E90F6E">
      <w:pPr>
        <w:spacing w:after="0" w:line="240" w:lineRule="auto"/>
        <w:ind w:left="91"/>
        <w:rPr>
          <w:rFonts w:cstheme="minorHAnsi"/>
          <w:sz w:val="12"/>
          <w:lang w:val="es-CR"/>
        </w:rPr>
      </w:pPr>
    </w:p>
    <w:p w14:paraId="00320B38" w14:textId="77777777" w:rsidR="00E90F6E" w:rsidRPr="001221DF" w:rsidRDefault="00E90F6E" w:rsidP="00E90F6E">
      <w:pPr>
        <w:spacing w:after="0" w:line="240" w:lineRule="auto"/>
        <w:ind w:left="91"/>
        <w:rPr>
          <w:rFonts w:cstheme="minorHAnsi"/>
          <w:sz w:val="12"/>
          <w:lang w:val="es-CR"/>
        </w:rPr>
      </w:pPr>
    </w:p>
    <w:p w14:paraId="1AE51AA5" w14:textId="77777777" w:rsidR="00E90F6E" w:rsidRPr="001221DF" w:rsidRDefault="00E90F6E" w:rsidP="00E90F6E">
      <w:pPr>
        <w:spacing w:after="0" w:line="240" w:lineRule="auto"/>
        <w:ind w:left="91"/>
        <w:rPr>
          <w:rFonts w:cstheme="minorHAnsi"/>
          <w:sz w:val="12"/>
          <w:lang w:val="es-CR"/>
        </w:rPr>
      </w:pPr>
    </w:p>
    <w:p w14:paraId="623BE15D" w14:textId="77777777" w:rsidR="00E90F6E" w:rsidRPr="001221DF" w:rsidRDefault="00E90F6E" w:rsidP="00E90F6E">
      <w:pPr>
        <w:spacing w:after="0" w:line="240" w:lineRule="auto"/>
        <w:ind w:left="91"/>
        <w:rPr>
          <w:rFonts w:cstheme="minorHAnsi"/>
          <w:sz w:val="12"/>
          <w:lang w:val="es-CR"/>
        </w:rPr>
      </w:pPr>
    </w:p>
    <w:p w14:paraId="2E41A891" w14:textId="77777777" w:rsidR="00E90F6E" w:rsidRPr="001221DF" w:rsidRDefault="00E90F6E" w:rsidP="00E90F6E">
      <w:pPr>
        <w:spacing w:after="0" w:line="240" w:lineRule="auto"/>
        <w:ind w:left="91"/>
        <w:rPr>
          <w:rFonts w:cstheme="minorHAnsi"/>
          <w:sz w:val="12"/>
          <w:lang w:val="es-CR"/>
        </w:rPr>
      </w:pPr>
    </w:p>
    <w:p w14:paraId="065CBE96" w14:textId="2F082C40" w:rsidR="004F139B" w:rsidRPr="001221DF" w:rsidRDefault="004F139B" w:rsidP="00E90F6E">
      <w:pPr>
        <w:spacing w:after="0" w:line="240" w:lineRule="auto"/>
        <w:ind w:left="91"/>
        <w:rPr>
          <w:rFonts w:cstheme="minorHAnsi"/>
          <w:sz w:val="12"/>
          <w:lang w:val="es-CR"/>
        </w:rPr>
      </w:pPr>
    </w:p>
    <w:p w14:paraId="67967016" w14:textId="1156D7DC" w:rsidR="004F139B" w:rsidRPr="001221DF" w:rsidRDefault="004F139B" w:rsidP="00E90F6E">
      <w:pPr>
        <w:spacing w:after="0" w:line="240" w:lineRule="auto"/>
        <w:ind w:left="91"/>
        <w:rPr>
          <w:rFonts w:cstheme="minorHAnsi"/>
          <w:sz w:val="12"/>
          <w:lang w:val="es-CR"/>
        </w:rPr>
      </w:pPr>
    </w:p>
    <w:p w14:paraId="1789463D" w14:textId="77777777" w:rsidR="004F139B" w:rsidRPr="001221DF" w:rsidRDefault="004F139B" w:rsidP="00E90F6E">
      <w:pPr>
        <w:spacing w:after="0" w:line="240" w:lineRule="auto"/>
        <w:ind w:left="91"/>
        <w:rPr>
          <w:rFonts w:cstheme="minorHAnsi"/>
          <w:sz w:val="12"/>
          <w:lang w:val="es-CR"/>
        </w:rPr>
      </w:pPr>
    </w:p>
    <w:p w14:paraId="18DA1178" w14:textId="2B69C521" w:rsidR="00E90F6E" w:rsidRDefault="00E90F6E" w:rsidP="00E90F6E">
      <w:pPr>
        <w:spacing w:after="0" w:line="240" w:lineRule="auto"/>
        <w:ind w:left="91"/>
        <w:rPr>
          <w:rFonts w:cstheme="minorHAnsi"/>
          <w:sz w:val="12"/>
          <w:lang w:val="es-CR"/>
        </w:rPr>
      </w:pPr>
    </w:p>
    <w:p w14:paraId="13BC5171" w14:textId="3A8D1658" w:rsidR="00DF5835" w:rsidRDefault="00DF5835" w:rsidP="00E90F6E">
      <w:pPr>
        <w:spacing w:after="0" w:line="240" w:lineRule="auto"/>
        <w:ind w:left="91"/>
        <w:rPr>
          <w:rFonts w:cstheme="minorHAnsi"/>
          <w:sz w:val="12"/>
          <w:lang w:val="es-CR"/>
        </w:rPr>
      </w:pPr>
    </w:p>
    <w:p w14:paraId="519F13F2" w14:textId="5ECD0CEB" w:rsidR="00DF5835" w:rsidRDefault="00DF5835" w:rsidP="00E90F6E">
      <w:pPr>
        <w:spacing w:after="0" w:line="240" w:lineRule="auto"/>
        <w:ind w:left="91"/>
        <w:rPr>
          <w:rFonts w:cstheme="minorHAnsi"/>
          <w:sz w:val="12"/>
          <w:lang w:val="es-CR"/>
        </w:rPr>
      </w:pPr>
    </w:p>
    <w:p w14:paraId="3C20FC93" w14:textId="58865E2E" w:rsidR="00EC7A0E" w:rsidRDefault="00EC7A0E" w:rsidP="00E90F6E">
      <w:pPr>
        <w:spacing w:after="0" w:line="240" w:lineRule="auto"/>
        <w:ind w:left="91"/>
        <w:rPr>
          <w:rFonts w:cstheme="minorHAnsi"/>
          <w:sz w:val="12"/>
          <w:lang w:val="es-CR"/>
        </w:rPr>
      </w:pPr>
    </w:p>
    <w:p w14:paraId="35D7EF31" w14:textId="37FFF488" w:rsidR="00EC7A0E" w:rsidRDefault="00EC7A0E" w:rsidP="00E90F6E">
      <w:pPr>
        <w:spacing w:after="0" w:line="240" w:lineRule="auto"/>
        <w:ind w:left="91"/>
        <w:rPr>
          <w:rFonts w:cstheme="minorHAnsi"/>
          <w:sz w:val="12"/>
          <w:lang w:val="es-CR"/>
        </w:rPr>
      </w:pPr>
    </w:p>
    <w:p w14:paraId="7154D50D" w14:textId="77777777" w:rsidR="00EC7A0E" w:rsidRDefault="00EC7A0E" w:rsidP="00E90F6E">
      <w:pPr>
        <w:spacing w:after="0" w:line="240" w:lineRule="auto"/>
        <w:ind w:left="91"/>
        <w:rPr>
          <w:rFonts w:cstheme="minorHAnsi"/>
          <w:sz w:val="12"/>
          <w:lang w:val="es-CR"/>
        </w:rPr>
      </w:pPr>
    </w:p>
    <w:p w14:paraId="2BD6CF0B" w14:textId="6AD1B096" w:rsidR="00DF5835" w:rsidRDefault="00DF5835" w:rsidP="00E90F6E">
      <w:pPr>
        <w:spacing w:after="0" w:line="240" w:lineRule="auto"/>
        <w:ind w:left="91"/>
        <w:rPr>
          <w:rFonts w:cstheme="minorHAnsi"/>
          <w:sz w:val="12"/>
          <w:lang w:val="es-CR"/>
        </w:rPr>
      </w:pPr>
    </w:p>
    <w:p w14:paraId="4B6D83B2" w14:textId="77777777" w:rsidR="00DF5835" w:rsidRPr="001221DF" w:rsidRDefault="00DF5835" w:rsidP="00E90F6E">
      <w:pPr>
        <w:spacing w:after="0" w:line="240" w:lineRule="auto"/>
        <w:ind w:left="91"/>
        <w:rPr>
          <w:rFonts w:cstheme="minorHAnsi"/>
          <w:sz w:val="12"/>
          <w:lang w:val="es-CR"/>
        </w:rPr>
      </w:pPr>
    </w:p>
    <w:p w14:paraId="00DCE42A" w14:textId="7C499479" w:rsidR="00E90F6E" w:rsidRPr="00173E51" w:rsidRDefault="00E90F6E" w:rsidP="00E90F6E">
      <w:pPr>
        <w:pBdr>
          <w:top w:val="single" w:sz="4" w:space="1" w:color="auto"/>
        </w:pBdr>
        <w:spacing w:after="0" w:line="240" w:lineRule="auto"/>
        <w:ind w:left="91"/>
        <w:rPr>
          <w:rFonts w:cstheme="minorHAnsi"/>
          <w:sz w:val="12"/>
          <w:lang w:val="es-CR"/>
        </w:rPr>
      </w:pPr>
      <w:bookmarkStart w:id="2" w:name="DA_RN_3932341232200000060"/>
      <w:r w:rsidRPr="00173E51">
        <w:rPr>
          <w:rFonts w:cstheme="minorHAnsi"/>
          <w:b/>
          <w:sz w:val="12"/>
          <w:lang w:val="es-CR"/>
        </w:rPr>
        <w:t>Fuente:</w:t>
      </w:r>
      <w:r w:rsidRPr="00173E51">
        <w:rPr>
          <w:rFonts w:cstheme="minorHAnsi"/>
          <w:sz w:val="12"/>
          <w:lang w:val="es-CR"/>
        </w:rPr>
        <w:t xml:space="preserve"> </w:t>
      </w:r>
      <w:r w:rsidRPr="00173E51">
        <w:rPr>
          <w:rFonts w:cstheme="minorHAnsi"/>
          <w:sz w:val="10"/>
          <w:lang w:val="es-CR"/>
        </w:rPr>
        <w:t xml:space="preserve">Datos extraídos del informe de Cotejo de Datos EITI-RD </w:t>
      </w:r>
      <w:r w:rsidR="004F5B91" w:rsidRPr="00173E51">
        <w:rPr>
          <w:rFonts w:cstheme="minorHAnsi"/>
          <w:sz w:val="10"/>
          <w:lang w:val="es-CR"/>
        </w:rPr>
        <w:t>2019 y 2020</w:t>
      </w:r>
      <w:r w:rsidRPr="00173E51">
        <w:rPr>
          <w:rFonts w:cstheme="minorHAnsi"/>
          <w:sz w:val="10"/>
          <w:lang w:val="es-CR"/>
        </w:rPr>
        <w:t xml:space="preserve"> (cifras de entidades gubernamentales) y de las confirmaciones recibidas de las entidades gubernamentales para este informe de Cotejo de Datos (</w:t>
      </w:r>
      <w:r w:rsidR="0011474E">
        <w:rPr>
          <w:rFonts w:cstheme="minorHAnsi"/>
          <w:sz w:val="10"/>
          <w:lang w:val="es-CR"/>
        </w:rPr>
        <w:t xml:space="preserve"> 2019 y 2020</w:t>
      </w:r>
      <w:r w:rsidRPr="00173E51">
        <w:rPr>
          <w:rFonts w:cstheme="minorHAnsi"/>
          <w:sz w:val="10"/>
          <w:lang w:val="es-CR"/>
        </w:rPr>
        <w:t>)</w:t>
      </w:r>
      <w:r w:rsidR="005C2580" w:rsidRPr="00173E51">
        <w:rPr>
          <w:rFonts w:cstheme="minorHAnsi"/>
          <w:sz w:val="10"/>
          <w:lang w:val="es-CR"/>
        </w:rPr>
        <w:t>.</w:t>
      </w:r>
    </w:p>
    <w:bookmarkEnd w:id="2"/>
    <w:p w14:paraId="40A96CD1" w14:textId="5D74091F" w:rsidR="00FB0E1E" w:rsidRDefault="00FB0E1E">
      <w:pPr>
        <w:spacing w:after="200" w:line="276" w:lineRule="auto"/>
        <w:rPr>
          <w:rFonts w:cstheme="minorHAnsi"/>
          <w:lang w:val="es-CR"/>
        </w:rPr>
      </w:pPr>
      <w:r>
        <w:rPr>
          <w:rFonts w:cstheme="minorHAnsi"/>
          <w:lang w:val="es-CR"/>
        </w:rPr>
        <w:br w:type="page"/>
      </w:r>
    </w:p>
    <w:p w14:paraId="478EE033" w14:textId="77777777" w:rsidR="00E24F4A" w:rsidRDefault="00E24F4A" w:rsidP="00E90F6E">
      <w:pPr>
        <w:rPr>
          <w:rFonts w:cstheme="minorHAnsi"/>
          <w:lang w:val="es-CR"/>
        </w:rPr>
      </w:pPr>
    </w:p>
    <w:p w14:paraId="3529E23F" w14:textId="5DCFC529" w:rsidR="00E90F6E" w:rsidRPr="001221DF" w:rsidRDefault="00E90F6E" w:rsidP="00E90F6E">
      <w:pPr>
        <w:rPr>
          <w:rFonts w:cstheme="minorHAnsi"/>
          <w:lang w:val="es-CR"/>
        </w:rPr>
      </w:pPr>
      <w:r w:rsidRPr="001221DF">
        <w:rPr>
          <w:rFonts w:cstheme="minorHAnsi"/>
          <w:lang w:val="es-CR"/>
        </w:rPr>
        <w:t xml:space="preserve">El cuadro siguiente muestra los resultados comparativos de las cifras </w:t>
      </w:r>
      <w:r w:rsidR="00533EFB">
        <w:rPr>
          <w:rFonts w:cstheme="minorHAnsi"/>
          <w:lang w:val="es-CR"/>
        </w:rPr>
        <w:t>(flujos)</w:t>
      </w:r>
      <w:r w:rsidRPr="001221DF">
        <w:rPr>
          <w:rFonts w:cstheme="minorHAnsi"/>
          <w:lang w:val="es-CR"/>
        </w:rPr>
        <w:t xml:space="preserve"> </w:t>
      </w:r>
      <w:r w:rsidR="00533EFB">
        <w:rPr>
          <w:rFonts w:cstheme="minorHAnsi"/>
          <w:lang w:val="es-CR"/>
        </w:rPr>
        <w:t xml:space="preserve">confirmadas </w:t>
      </w:r>
      <w:r w:rsidRPr="001221DF">
        <w:rPr>
          <w:rFonts w:cstheme="minorHAnsi"/>
          <w:lang w:val="es-CR"/>
        </w:rPr>
        <w:t xml:space="preserve">por las entidades de Gobierno al </w:t>
      </w:r>
      <w:r w:rsidR="00EC7A0E">
        <w:rPr>
          <w:rFonts w:cstheme="minorHAnsi"/>
          <w:lang w:val="es-CR"/>
        </w:rPr>
        <w:t>Deloitte</w:t>
      </w:r>
      <w:r w:rsidRPr="001221DF">
        <w:rPr>
          <w:rFonts w:cstheme="minorHAnsi"/>
          <w:lang w:val="es-CR"/>
        </w:rPr>
        <w:t xml:space="preserve"> en el alcance del tercer</w:t>
      </w:r>
      <w:r w:rsidR="00363E1A" w:rsidRPr="001221DF">
        <w:rPr>
          <w:rFonts w:cstheme="minorHAnsi"/>
          <w:lang w:val="es-CR"/>
        </w:rPr>
        <w:t xml:space="preserve"> y cuarto</w:t>
      </w:r>
      <w:r w:rsidRPr="001221DF">
        <w:rPr>
          <w:rFonts w:cstheme="minorHAnsi"/>
          <w:lang w:val="es-CR"/>
        </w:rPr>
        <w:t xml:space="preserve"> informe EITI- RD</w:t>
      </w:r>
      <w:r w:rsidR="00E24F4A">
        <w:rPr>
          <w:rFonts w:cstheme="minorHAnsi"/>
          <w:lang w:val="es-CR"/>
        </w:rPr>
        <w:t xml:space="preserve">. A continuación, se presenta </w:t>
      </w:r>
      <w:r w:rsidRPr="001221DF">
        <w:rPr>
          <w:rFonts w:cstheme="minorHAnsi"/>
          <w:lang w:val="es-CR"/>
        </w:rPr>
        <w:t xml:space="preserve">por </w:t>
      </w:r>
      <w:r w:rsidR="007449AB" w:rsidRPr="001221DF">
        <w:rPr>
          <w:rFonts w:cstheme="minorHAnsi"/>
          <w:lang w:val="es-CR"/>
        </w:rPr>
        <w:t>E</w:t>
      </w:r>
      <w:r w:rsidRPr="001221DF">
        <w:rPr>
          <w:rFonts w:cstheme="minorHAnsi"/>
          <w:lang w:val="es-CR"/>
        </w:rPr>
        <w:t xml:space="preserve">ntidad </w:t>
      </w:r>
      <w:r w:rsidR="007449AB" w:rsidRPr="001221DF">
        <w:rPr>
          <w:rFonts w:cstheme="minorHAnsi"/>
          <w:lang w:val="es-CR"/>
        </w:rPr>
        <w:t>Gubernamental</w:t>
      </w:r>
      <w:r w:rsidR="00E24F4A">
        <w:rPr>
          <w:rFonts w:cstheme="minorHAnsi"/>
          <w:lang w:val="es-CR"/>
        </w:rPr>
        <w:t xml:space="preserve">: </w:t>
      </w:r>
      <w:r w:rsidR="007449AB" w:rsidRPr="001221DF">
        <w:rPr>
          <w:rFonts w:cstheme="minorHAnsi"/>
          <w:lang w:val="es-CR"/>
        </w:rPr>
        <w:t xml:space="preserve"> </w:t>
      </w:r>
    </w:p>
    <w:tbl>
      <w:tblPr>
        <w:tblStyle w:val="Style2"/>
        <w:tblW w:w="9657" w:type="dxa"/>
        <w:tblLook w:val="04A0" w:firstRow="1" w:lastRow="0" w:firstColumn="1" w:lastColumn="0" w:noHBand="0" w:noVBand="1"/>
      </w:tblPr>
      <w:tblGrid>
        <w:gridCol w:w="3060"/>
        <w:gridCol w:w="1737"/>
        <w:gridCol w:w="1773"/>
        <w:gridCol w:w="1557"/>
        <w:gridCol w:w="1530"/>
      </w:tblGrid>
      <w:tr w:rsidR="00651808" w:rsidRPr="001221DF" w14:paraId="08904DC7" w14:textId="7E5DD71B" w:rsidTr="000A05B8">
        <w:trPr>
          <w:cnfStyle w:val="100000000000" w:firstRow="1" w:lastRow="0" w:firstColumn="0" w:lastColumn="0" w:oddVBand="0" w:evenVBand="0" w:oddHBand="0" w:evenHBand="0" w:firstRowFirstColumn="0" w:firstRowLastColumn="0" w:lastRowFirstColumn="0" w:lastRowLastColumn="0"/>
          <w:trHeight w:val="473"/>
        </w:trPr>
        <w:tc>
          <w:tcPr>
            <w:tcW w:w="3060" w:type="dxa"/>
            <w:shd w:val="clear" w:color="auto" w:fill="86BC25" w:themeFill="accent1"/>
            <w:vAlign w:val="center"/>
          </w:tcPr>
          <w:p w14:paraId="22D94D34" w14:textId="77777777" w:rsidR="00651808" w:rsidRPr="0090734B" w:rsidRDefault="00651808" w:rsidP="00651808">
            <w:pPr>
              <w:spacing w:after="0" w:line="240" w:lineRule="auto"/>
              <w:ind w:hanging="102"/>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Entidad Gubernamental</w:t>
            </w:r>
          </w:p>
        </w:tc>
        <w:tc>
          <w:tcPr>
            <w:tcW w:w="1737" w:type="dxa"/>
            <w:shd w:val="clear" w:color="auto" w:fill="86BC25" w:themeFill="accent1"/>
            <w:vAlign w:val="center"/>
          </w:tcPr>
          <w:p w14:paraId="2C09A1C8" w14:textId="50801953" w:rsidR="00651808" w:rsidRPr="0090734B" w:rsidRDefault="00651808" w:rsidP="00651808">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2020</w:t>
            </w:r>
          </w:p>
        </w:tc>
        <w:tc>
          <w:tcPr>
            <w:tcW w:w="1773" w:type="dxa"/>
            <w:shd w:val="clear" w:color="auto" w:fill="86BC25" w:themeFill="accent1"/>
            <w:vAlign w:val="center"/>
          </w:tcPr>
          <w:p w14:paraId="59714E6A" w14:textId="2E25EE1D" w:rsidR="00651808" w:rsidRPr="0090734B" w:rsidRDefault="00651808" w:rsidP="00651808">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2019</w:t>
            </w:r>
          </w:p>
        </w:tc>
        <w:tc>
          <w:tcPr>
            <w:tcW w:w="1557" w:type="dxa"/>
            <w:shd w:val="clear" w:color="auto" w:fill="86BC25" w:themeFill="accent1"/>
            <w:vAlign w:val="center"/>
          </w:tcPr>
          <w:p w14:paraId="68792BF8" w14:textId="05E4A756" w:rsidR="00651808" w:rsidRPr="0090734B" w:rsidRDefault="00651808" w:rsidP="00651808">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2018</w:t>
            </w:r>
          </w:p>
        </w:tc>
        <w:tc>
          <w:tcPr>
            <w:tcW w:w="1530" w:type="dxa"/>
            <w:shd w:val="clear" w:color="auto" w:fill="86BC25" w:themeFill="accent1"/>
            <w:vAlign w:val="center"/>
          </w:tcPr>
          <w:p w14:paraId="5E3D44BB" w14:textId="001F3098" w:rsidR="00651808" w:rsidRPr="0090734B" w:rsidRDefault="00651808" w:rsidP="00651808">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201</w:t>
            </w:r>
            <w:r>
              <w:rPr>
                <w:rFonts w:cstheme="minorHAnsi"/>
                <w:b/>
                <w:color w:val="FFFFFF" w:themeColor="background1"/>
                <w:sz w:val="16"/>
                <w:szCs w:val="16"/>
                <w:lang w:val="es-CR"/>
              </w:rPr>
              <w:t>7</w:t>
            </w:r>
          </w:p>
        </w:tc>
      </w:tr>
      <w:tr w:rsidR="00651808" w:rsidRPr="001221DF" w14:paraId="0B7BAEAE" w14:textId="61134863" w:rsidTr="000A05B8">
        <w:trPr>
          <w:trHeight w:val="473"/>
        </w:trPr>
        <w:tc>
          <w:tcPr>
            <w:tcW w:w="3060" w:type="dxa"/>
            <w:vAlign w:val="center"/>
          </w:tcPr>
          <w:p w14:paraId="23046FC9" w14:textId="77777777" w:rsidR="00651808" w:rsidRPr="001221DF" w:rsidRDefault="00651808" w:rsidP="00651808">
            <w:pPr>
              <w:spacing w:after="0" w:line="240" w:lineRule="auto"/>
              <w:rPr>
                <w:rFonts w:cstheme="minorHAnsi"/>
                <w:sz w:val="16"/>
                <w:szCs w:val="16"/>
                <w:lang w:val="es-CR"/>
              </w:rPr>
            </w:pPr>
            <w:r w:rsidRPr="001221DF">
              <w:rPr>
                <w:rFonts w:cstheme="minorHAnsi"/>
                <w:sz w:val="16"/>
                <w:szCs w:val="16"/>
                <w:lang w:val="es-CR"/>
              </w:rPr>
              <w:t>Dirección General Impuestos Internos (DGII)</w:t>
            </w:r>
          </w:p>
        </w:tc>
        <w:tc>
          <w:tcPr>
            <w:tcW w:w="1737" w:type="dxa"/>
            <w:vAlign w:val="center"/>
          </w:tcPr>
          <w:p w14:paraId="307C8CB2" w14:textId="3351ACB0" w:rsidR="00651808" w:rsidRDefault="00651808" w:rsidP="004B7C0C">
            <w:pPr>
              <w:tabs>
                <w:tab w:val="decimal" w:pos="1200"/>
              </w:tabs>
              <w:spacing w:after="0" w:line="240" w:lineRule="auto"/>
              <w:jc w:val="both"/>
              <w:rPr>
                <w:rFonts w:cstheme="minorHAnsi"/>
                <w:sz w:val="16"/>
                <w:szCs w:val="16"/>
                <w:lang w:val="es-CR"/>
              </w:rPr>
            </w:pPr>
            <w:r w:rsidRPr="001221DF">
              <w:rPr>
                <w:rFonts w:cstheme="minorHAnsi"/>
                <w:sz w:val="16"/>
                <w:szCs w:val="16"/>
                <w:lang w:val="es-CR"/>
              </w:rPr>
              <w:t>RD$</w:t>
            </w:r>
          </w:p>
          <w:p w14:paraId="2D0DF4F9" w14:textId="2EDB09CC" w:rsidR="00B16C34" w:rsidRPr="001221DF" w:rsidRDefault="00B16C34" w:rsidP="004B7C0C">
            <w:pPr>
              <w:tabs>
                <w:tab w:val="decimal" w:pos="1200"/>
              </w:tabs>
              <w:spacing w:after="0" w:line="240" w:lineRule="auto"/>
              <w:jc w:val="both"/>
              <w:rPr>
                <w:rFonts w:cstheme="minorHAnsi"/>
                <w:sz w:val="16"/>
                <w:szCs w:val="16"/>
                <w:lang w:val="es-CR"/>
              </w:rPr>
            </w:pPr>
            <w:r>
              <w:rPr>
                <w:rFonts w:cstheme="minorHAnsi"/>
                <w:sz w:val="16"/>
                <w:szCs w:val="16"/>
                <w:lang w:val="es-CR"/>
              </w:rPr>
              <w:t>23,696,569,082</w:t>
            </w:r>
          </w:p>
        </w:tc>
        <w:tc>
          <w:tcPr>
            <w:tcW w:w="1773" w:type="dxa"/>
            <w:vAlign w:val="center"/>
          </w:tcPr>
          <w:p w14:paraId="0BA7A083" w14:textId="5F5AAB0F" w:rsidR="00651808" w:rsidRDefault="00651808" w:rsidP="005E7128">
            <w:pPr>
              <w:tabs>
                <w:tab w:val="decimal" w:pos="1508"/>
              </w:tabs>
              <w:spacing w:after="0" w:line="240" w:lineRule="auto"/>
              <w:jc w:val="both"/>
              <w:rPr>
                <w:rFonts w:cstheme="minorHAnsi"/>
                <w:sz w:val="16"/>
                <w:szCs w:val="16"/>
                <w:lang w:val="es-CR"/>
              </w:rPr>
            </w:pPr>
            <w:r w:rsidRPr="001221DF">
              <w:rPr>
                <w:rFonts w:cstheme="minorHAnsi"/>
                <w:sz w:val="16"/>
                <w:szCs w:val="16"/>
                <w:lang w:val="es-CR"/>
              </w:rPr>
              <w:t>RD$</w:t>
            </w:r>
          </w:p>
          <w:p w14:paraId="4F59FFD3" w14:textId="3C7CB2DF" w:rsidR="00B16C34" w:rsidRPr="001221DF" w:rsidRDefault="00B16C34" w:rsidP="005E7128">
            <w:pPr>
              <w:tabs>
                <w:tab w:val="decimal" w:pos="1508"/>
              </w:tabs>
              <w:spacing w:after="0" w:line="240" w:lineRule="auto"/>
              <w:jc w:val="both"/>
              <w:rPr>
                <w:rFonts w:cstheme="minorHAnsi"/>
                <w:sz w:val="16"/>
                <w:szCs w:val="16"/>
                <w:lang w:val="es-CR"/>
              </w:rPr>
            </w:pPr>
            <w:r>
              <w:rPr>
                <w:rFonts w:cstheme="minorHAnsi"/>
                <w:sz w:val="16"/>
                <w:szCs w:val="16"/>
                <w:lang w:val="es-CR"/>
              </w:rPr>
              <w:t>11,361,455,018</w:t>
            </w:r>
          </w:p>
        </w:tc>
        <w:tc>
          <w:tcPr>
            <w:tcW w:w="1557" w:type="dxa"/>
            <w:vAlign w:val="center"/>
          </w:tcPr>
          <w:p w14:paraId="7C1C608F" w14:textId="162C4DE7" w:rsidR="00651808" w:rsidRPr="001221DF" w:rsidRDefault="00651808" w:rsidP="000A05B8">
            <w:pPr>
              <w:tabs>
                <w:tab w:val="decimal" w:pos="1362"/>
              </w:tabs>
              <w:spacing w:after="0" w:line="240" w:lineRule="auto"/>
              <w:jc w:val="both"/>
              <w:rPr>
                <w:rFonts w:cstheme="minorHAnsi"/>
                <w:sz w:val="16"/>
                <w:szCs w:val="16"/>
                <w:lang w:val="es-CR"/>
              </w:rPr>
            </w:pPr>
            <w:r w:rsidRPr="001221DF">
              <w:rPr>
                <w:rFonts w:cstheme="minorHAnsi"/>
                <w:sz w:val="16"/>
                <w:szCs w:val="16"/>
                <w:lang w:val="es-CR"/>
              </w:rPr>
              <w:t>RD$10,159,471,391</w:t>
            </w:r>
          </w:p>
        </w:tc>
        <w:tc>
          <w:tcPr>
            <w:tcW w:w="1530" w:type="dxa"/>
            <w:vAlign w:val="center"/>
          </w:tcPr>
          <w:p w14:paraId="7F40C68A" w14:textId="412FE39B" w:rsidR="00651808" w:rsidRPr="001221DF" w:rsidRDefault="00651808" w:rsidP="0015725E">
            <w:pPr>
              <w:tabs>
                <w:tab w:val="decimal" w:pos="1312"/>
              </w:tabs>
              <w:spacing w:after="0" w:line="240" w:lineRule="auto"/>
              <w:jc w:val="both"/>
              <w:rPr>
                <w:rFonts w:cstheme="minorHAnsi"/>
                <w:sz w:val="16"/>
                <w:szCs w:val="16"/>
                <w:lang w:val="es-CR"/>
              </w:rPr>
            </w:pPr>
            <w:r w:rsidRPr="002A2110">
              <w:rPr>
                <w:rFonts w:cstheme="minorHAnsi"/>
                <w:sz w:val="16"/>
                <w:szCs w:val="16"/>
                <w:lang w:val="es-CR"/>
              </w:rPr>
              <w:t>RD$17,014,681,962</w:t>
            </w:r>
          </w:p>
        </w:tc>
      </w:tr>
      <w:tr w:rsidR="00651808" w:rsidRPr="001221DF" w14:paraId="158F76ED" w14:textId="417C1216" w:rsidTr="000A05B8">
        <w:trPr>
          <w:cnfStyle w:val="000000010000" w:firstRow="0" w:lastRow="0" w:firstColumn="0" w:lastColumn="0" w:oddVBand="0" w:evenVBand="0" w:oddHBand="0" w:evenHBand="1" w:firstRowFirstColumn="0" w:firstRowLastColumn="0" w:lastRowFirstColumn="0" w:lastRowLastColumn="0"/>
          <w:trHeight w:val="473"/>
        </w:trPr>
        <w:tc>
          <w:tcPr>
            <w:tcW w:w="3060" w:type="dxa"/>
            <w:vAlign w:val="center"/>
          </w:tcPr>
          <w:p w14:paraId="22E901DC" w14:textId="77777777" w:rsidR="00651808" w:rsidRPr="001221DF" w:rsidRDefault="00651808" w:rsidP="00651808">
            <w:pPr>
              <w:spacing w:after="0" w:line="240" w:lineRule="auto"/>
              <w:rPr>
                <w:rFonts w:cstheme="minorHAnsi"/>
                <w:sz w:val="16"/>
                <w:szCs w:val="16"/>
                <w:lang w:val="es-CR"/>
              </w:rPr>
            </w:pPr>
            <w:r w:rsidRPr="001221DF">
              <w:rPr>
                <w:rFonts w:cstheme="minorHAnsi"/>
                <w:sz w:val="16"/>
                <w:szCs w:val="16"/>
                <w:lang w:val="es-CR"/>
              </w:rPr>
              <w:t>Dirección General de Aduanas (DGA)</w:t>
            </w:r>
          </w:p>
        </w:tc>
        <w:tc>
          <w:tcPr>
            <w:tcW w:w="1737" w:type="dxa"/>
            <w:vAlign w:val="center"/>
          </w:tcPr>
          <w:p w14:paraId="72C54907" w14:textId="024A0573" w:rsidR="00651808" w:rsidRPr="001221DF" w:rsidRDefault="00651808" w:rsidP="004B7C0C">
            <w:pPr>
              <w:tabs>
                <w:tab w:val="decimal" w:pos="1200"/>
              </w:tabs>
              <w:spacing w:after="0" w:line="240" w:lineRule="auto"/>
              <w:jc w:val="both"/>
              <w:rPr>
                <w:rFonts w:cstheme="minorHAnsi"/>
                <w:sz w:val="16"/>
                <w:szCs w:val="16"/>
                <w:lang w:val="es-CR"/>
              </w:rPr>
            </w:pPr>
            <w:r w:rsidRPr="003B727A">
              <w:rPr>
                <w:rFonts w:cstheme="minorHAnsi"/>
                <w:sz w:val="16"/>
                <w:szCs w:val="16"/>
                <w:lang w:val="es-CR"/>
              </w:rPr>
              <w:t>57,327,767</w:t>
            </w:r>
          </w:p>
        </w:tc>
        <w:tc>
          <w:tcPr>
            <w:tcW w:w="1773" w:type="dxa"/>
            <w:vAlign w:val="center"/>
          </w:tcPr>
          <w:p w14:paraId="15CF6DC2" w14:textId="153EF845" w:rsidR="00651808" w:rsidRPr="001221DF" w:rsidRDefault="00651808" w:rsidP="005E7128">
            <w:pPr>
              <w:tabs>
                <w:tab w:val="decimal" w:pos="1508"/>
              </w:tabs>
              <w:spacing w:after="0" w:line="240" w:lineRule="auto"/>
              <w:jc w:val="both"/>
              <w:rPr>
                <w:rFonts w:cstheme="minorHAnsi"/>
                <w:sz w:val="16"/>
                <w:szCs w:val="16"/>
                <w:lang w:val="es-CR"/>
              </w:rPr>
            </w:pPr>
            <w:r w:rsidRPr="003B727A">
              <w:rPr>
                <w:rFonts w:cstheme="minorHAnsi"/>
                <w:sz w:val="16"/>
                <w:szCs w:val="16"/>
                <w:lang w:val="es-CR"/>
              </w:rPr>
              <w:t>103,364,961</w:t>
            </w:r>
          </w:p>
        </w:tc>
        <w:tc>
          <w:tcPr>
            <w:tcW w:w="1557" w:type="dxa"/>
            <w:vAlign w:val="center"/>
          </w:tcPr>
          <w:p w14:paraId="16D3CE25" w14:textId="74E39F03" w:rsidR="00651808" w:rsidRPr="001221DF" w:rsidRDefault="00651808" w:rsidP="000A05B8">
            <w:pPr>
              <w:tabs>
                <w:tab w:val="decimal" w:pos="1362"/>
              </w:tabs>
              <w:spacing w:after="0" w:line="240" w:lineRule="auto"/>
              <w:jc w:val="both"/>
              <w:rPr>
                <w:rFonts w:cstheme="minorHAnsi"/>
                <w:sz w:val="16"/>
                <w:szCs w:val="16"/>
                <w:lang w:val="es-CR"/>
              </w:rPr>
            </w:pPr>
            <w:r w:rsidRPr="001221DF">
              <w:rPr>
                <w:rFonts w:cstheme="minorHAnsi"/>
                <w:sz w:val="16"/>
                <w:szCs w:val="16"/>
                <w:lang w:val="es-CR"/>
              </w:rPr>
              <w:t>437,691,048</w:t>
            </w:r>
          </w:p>
        </w:tc>
        <w:tc>
          <w:tcPr>
            <w:tcW w:w="1530" w:type="dxa"/>
            <w:vAlign w:val="center"/>
          </w:tcPr>
          <w:p w14:paraId="69E8FB5F" w14:textId="5D6B1906" w:rsidR="00651808" w:rsidRPr="001221DF" w:rsidRDefault="00C1462B" w:rsidP="0015725E">
            <w:pPr>
              <w:tabs>
                <w:tab w:val="decimal" w:pos="1312"/>
              </w:tabs>
              <w:spacing w:after="0" w:line="240" w:lineRule="auto"/>
              <w:jc w:val="both"/>
              <w:rPr>
                <w:rFonts w:cstheme="minorHAnsi"/>
                <w:sz w:val="16"/>
                <w:szCs w:val="16"/>
                <w:lang w:val="es-CR"/>
              </w:rPr>
            </w:pPr>
            <w:r>
              <w:rPr>
                <w:rFonts w:cstheme="minorHAnsi"/>
                <w:sz w:val="16"/>
                <w:szCs w:val="16"/>
                <w:lang w:val="es-CR"/>
              </w:rPr>
              <w:t>-</w:t>
            </w:r>
          </w:p>
        </w:tc>
      </w:tr>
      <w:tr w:rsidR="00651808" w:rsidRPr="001221DF" w14:paraId="18BF6DB2" w14:textId="48EB7CA7" w:rsidTr="000A05B8">
        <w:trPr>
          <w:trHeight w:val="473"/>
        </w:trPr>
        <w:tc>
          <w:tcPr>
            <w:tcW w:w="3060" w:type="dxa"/>
            <w:vAlign w:val="center"/>
          </w:tcPr>
          <w:p w14:paraId="3BD20C6F" w14:textId="29E430B3" w:rsidR="00651808" w:rsidRPr="001221DF" w:rsidRDefault="00651808" w:rsidP="00651808">
            <w:pPr>
              <w:spacing w:after="0" w:line="240" w:lineRule="auto"/>
              <w:rPr>
                <w:rFonts w:cstheme="minorHAnsi"/>
                <w:sz w:val="16"/>
                <w:szCs w:val="16"/>
                <w:lang w:val="es-CR"/>
              </w:rPr>
            </w:pPr>
            <w:r>
              <w:rPr>
                <w:rFonts w:cstheme="minorHAnsi"/>
                <w:sz w:val="16"/>
                <w:szCs w:val="16"/>
                <w:lang w:val="es-CR"/>
              </w:rPr>
              <w:t xml:space="preserve"> Direccion General de minería (DGM)</w:t>
            </w:r>
          </w:p>
        </w:tc>
        <w:tc>
          <w:tcPr>
            <w:tcW w:w="1737" w:type="dxa"/>
            <w:vAlign w:val="center"/>
          </w:tcPr>
          <w:p w14:paraId="3BED46BC" w14:textId="18E415FD" w:rsidR="00651808" w:rsidRPr="001221DF" w:rsidRDefault="00651808" w:rsidP="004B7C0C">
            <w:pPr>
              <w:tabs>
                <w:tab w:val="decimal" w:pos="1200"/>
              </w:tabs>
              <w:spacing w:after="0" w:line="240" w:lineRule="auto"/>
              <w:jc w:val="both"/>
              <w:rPr>
                <w:rFonts w:cstheme="minorHAnsi"/>
                <w:sz w:val="16"/>
                <w:szCs w:val="16"/>
                <w:lang w:val="es-CR"/>
              </w:rPr>
            </w:pPr>
            <w:r w:rsidRPr="003B727A">
              <w:rPr>
                <w:rFonts w:cstheme="minorHAnsi"/>
                <w:sz w:val="16"/>
                <w:szCs w:val="16"/>
                <w:lang w:val="es-CR"/>
              </w:rPr>
              <w:t>34,700</w:t>
            </w:r>
          </w:p>
        </w:tc>
        <w:tc>
          <w:tcPr>
            <w:tcW w:w="1773" w:type="dxa"/>
            <w:vAlign w:val="center"/>
          </w:tcPr>
          <w:p w14:paraId="41CC5581" w14:textId="71D4B560" w:rsidR="00651808" w:rsidRPr="001221DF" w:rsidRDefault="00651808" w:rsidP="005E7128">
            <w:pPr>
              <w:tabs>
                <w:tab w:val="decimal" w:pos="1508"/>
              </w:tabs>
              <w:spacing w:after="0" w:line="240" w:lineRule="auto"/>
              <w:jc w:val="both"/>
              <w:rPr>
                <w:rFonts w:cstheme="minorHAnsi"/>
                <w:sz w:val="16"/>
                <w:szCs w:val="16"/>
                <w:lang w:val="es-CR"/>
              </w:rPr>
            </w:pPr>
            <w:r w:rsidRPr="003B727A">
              <w:rPr>
                <w:rFonts w:cstheme="minorHAnsi"/>
                <w:sz w:val="16"/>
                <w:szCs w:val="16"/>
                <w:lang w:val="es-CR"/>
              </w:rPr>
              <w:t xml:space="preserve">217,454 </w:t>
            </w:r>
          </w:p>
        </w:tc>
        <w:tc>
          <w:tcPr>
            <w:tcW w:w="1557" w:type="dxa"/>
            <w:vAlign w:val="center"/>
          </w:tcPr>
          <w:p w14:paraId="23532DF3" w14:textId="7166499E" w:rsidR="00651808" w:rsidRPr="001221DF" w:rsidRDefault="00C1462B" w:rsidP="000A05B8">
            <w:pPr>
              <w:tabs>
                <w:tab w:val="decimal" w:pos="1362"/>
              </w:tabs>
              <w:spacing w:after="0" w:line="240" w:lineRule="auto"/>
              <w:jc w:val="both"/>
              <w:rPr>
                <w:rFonts w:cstheme="minorHAnsi"/>
                <w:sz w:val="16"/>
                <w:szCs w:val="16"/>
                <w:lang w:val="es-CR"/>
              </w:rPr>
            </w:pPr>
            <w:r>
              <w:rPr>
                <w:rFonts w:cstheme="minorHAnsi"/>
                <w:sz w:val="16"/>
                <w:szCs w:val="16"/>
                <w:lang w:val="es-CR"/>
              </w:rPr>
              <w:t>N/A</w:t>
            </w:r>
          </w:p>
        </w:tc>
        <w:tc>
          <w:tcPr>
            <w:tcW w:w="1530" w:type="dxa"/>
            <w:vAlign w:val="center"/>
          </w:tcPr>
          <w:p w14:paraId="67EFD9AD" w14:textId="6B6DCBCA" w:rsidR="00651808" w:rsidRPr="001221DF" w:rsidRDefault="00C1462B" w:rsidP="0015725E">
            <w:pPr>
              <w:tabs>
                <w:tab w:val="decimal" w:pos="1312"/>
              </w:tabs>
              <w:spacing w:after="0" w:line="240" w:lineRule="auto"/>
              <w:jc w:val="both"/>
              <w:rPr>
                <w:rFonts w:cstheme="minorHAnsi"/>
                <w:sz w:val="16"/>
                <w:szCs w:val="16"/>
                <w:lang w:val="es-CR"/>
              </w:rPr>
            </w:pPr>
            <w:r>
              <w:rPr>
                <w:rFonts w:cstheme="minorHAnsi"/>
                <w:sz w:val="16"/>
                <w:szCs w:val="16"/>
                <w:lang w:val="es-CR"/>
              </w:rPr>
              <w:t>N/A</w:t>
            </w:r>
          </w:p>
        </w:tc>
      </w:tr>
      <w:tr w:rsidR="00651808" w:rsidRPr="001221DF" w14:paraId="63C62BC0" w14:textId="35DB112D" w:rsidTr="000A05B8">
        <w:trPr>
          <w:cnfStyle w:val="000000010000" w:firstRow="0" w:lastRow="0" w:firstColumn="0" w:lastColumn="0" w:oddVBand="0" w:evenVBand="0" w:oddHBand="0" w:evenHBand="1" w:firstRowFirstColumn="0" w:firstRowLastColumn="0" w:lastRowFirstColumn="0" w:lastRowLastColumn="0"/>
          <w:trHeight w:val="473"/>
        </w:trPr>
        <w:tc>
          <w:tcPr>
            <w:tcW w:w="3060" w:type="dxa"/>
            <w:vAlign w:val="center"/>
          </w:tcPr>
          <w:p w14:paraId="02DFFF83" w14:textId="77777777" w:rsidR="00651808" w:rsidRPr="001221DF" w:rsidRDefault="00651808" w:rsidP="00651808">
            <w:pPr>
              <w:spacing w:after="0" w:line="240" w:lineRule="auto"/>
              <w:rPr>
                <w:rFonts w:cstheme="minorHAnsi"/>
                <w:sz w:val="16"/>
                <w:szCs w:val="16"/>
                <w:lang w:val="es-CR"/>
              </w:rPr>
            </w:pPr>
            <w:r w:rsidRPr="001221DF">
              <w:rPr>
                <w:rFonts w:cstheme="minorHAnsi"/>
                <w:sz w:val="16"/>
                <w:szCs w:val="16"/>
                <w:lang w:val="es-CR"/>
              </w:rPr>
              <w:t>Ministerio de Energía y Minas (MEM)</w:t>
            </w:r>
          </w:p>
        </w:tc>
        <w:tc>
          <w:tcPr>
            <w:tcW w:w="1737" w:type="dxa"/>
            <w:vAlign w:val="center"/>
          </w:tcPr>
          <w:p w14:paraId="0033F18C" w14:textId="5FD8A60E" w:rsidR="00651808" w:rsidRPr="001221DF" w:rsidRDefault="00651808" w:rsidP="004B7C0C">
            <w:pPr>
              <w:tabs>
                <w:tab w:val="decimal" w:pos="1200"/>
              </w:tabs>
              <w:spacing w:after="0" w:line="240" w:lineRule="auto"/>
              <w:jc w:val="both"/>
              <w:rPr>
                <w:rFonts w:cstheme="minorHAnsi"/>
                <w:sz w:val="16"/>
                <w:szCs w:val="16"/>
                <w:lang w:val="es-CR"/>
              </w:rPr>
            </w:pPr>
            <w:r w:rsidRPr="003B727A">
              <w:rPr>
                <w:rFonts w:cstheme="minorHAnsi"/>
                <w:sz w:val="16"/>
                <w:szCs w:val="16"/>
                <w:lang w:val="es-CR"/>
              </w:rPr>
              <w:t>73,000</w:t>
            </w:r>
          </w:p>
        </w:tc>
        <w:tc>
          <w:tcPr>
            <w:tcW w:w="1773" w:type="dxa"/>
            <w:vAlign w:val="center"/>
          </w:tcPr>
          <w:p w14:paraId="2B8BC1AF" w14:textId="78860E86" w:rsidR="00651808" w:rsidRPr="001221DF" w:rsidRDefault="00651808" w:rsidP="005E7128">
            <w:pPr>
              <w:tabs>
                <w:tab w:val="decimal" w:pos="1508"/>
              </w:tabs>
              <w:spacing w:after="0" w:line="240" w:lineRule="auto"/>
              <w:jc w:val="both"/>
              <w:rPr>
                <w:rFonts w:cstheme="minorHAnsi"/>
                <w:sz w:val="16"/>
                <w:szCs w:val="16"/>
                <w:lang w:val="es-CR"/>
              </w:rPr>
            </w:pPr>
            <w:r w:rsidRPr="003B727A">
              <w:rPr>
                <w:rFonts w:cstheme="minorHAnsi"/>
                <w:sz w:val="16"/>
                <w:szCs w:val="16"/>
                <w:lang w:val="es-CR"/>
              </w:rPr>
              <w:t>448,000</w:t>
            </w:r>
          </w:p>
        </w:tc>
        <w:tc>
          <w:tcPr>
            <w:tcW w:w="1557" w:type="dxa"/>
            <w:vAlign w:val="center"/>
          </w:tcPr>
          <w:p w14:paraId="02180AC6" w14:textId="1F149D4F" w:rsidR="00651808" w:rsidRPr="001221DF" w:rsidRDefault="00651808" w:rsidP="000A05B8">
            <w:pPr>
              <w:tabs>
                <w:tab w:val="decimal" w:pos="1362"/>
              </w:tabs>
              <w:spacing w:after="0" w:line="240" w:lineRule="auto"/>
              <w:jc w:val="both"/>
              <w:rPr>
                <w:rFonts w:cstheme="minorHAnsi"/>
                <w:sz w:val="16"/>
                <w:szCs w:val="16"/>
                <w:lang w:val="es-CR"/>
              </w:rPr>
            </w:pPr>
            <w:r w:rsidRPr="001221DF">
              <w:rPr>
                <w:rFonts w:cstheme="minorHAnsi"/>
                <w:sz w:val="16"/>
                <w:szCs w:val="16"/>
                <w:lang w:val="es-CR"/>
              </w:rPr>
              <w:t>37,000</w:t>
            </w:r>
          </w:p>
        </w:tc>
        <w:tc>
          <w:tcPr>
            <w:tcW w:w="1530" w:type="dxa"/>
            <w:vAlign w:val="center"/>
          </w:tcPr>
          <w:p w14:paraId="50A8AF47" w14:textId="32504116" w:rsidR="00651808" w:rsidRPr="001221DF" w:rsidRDefault="00651808" w:rsidP="0015725E">
            <w:pPr>
              <w:tabs>
                <w:tab w:val="decimal" w:pos="1312"/>
              </w:tabs>
              <w:spacing w:after="0" w:line="240" w:lineRule="auto"/>
              <w:jc w:val="both"/>
              <w:rPr>
                <w:rFonts w:cstheme="minorHAnsi"/>
                <w:sz w:val="16"/>
                <w:szCs w:val="16"/>
                <w:lang w:val="es-CR"/>
              </w:rPr>
            </w:pPr>
            <w:r w:rsidRPr="002A2110">
              <w:rPr>
                <w:rFonts w:cstheme="minorHAnsi"/>
                <w:sz w:val="16"/>
                <w:szCs w:val="16"/>
                <w:lang w:val="es-CR"/>
              </w:rPr>
              <w:t>391,000</w:t>
            </w:r>
          </w:p>
        </w:tc>
      </w:tr>
      <w:tr w:rsidR="00651808" w:rsidRPr="001221DF" w14:paraId="200DD617" w14:textId="0C865D2A" w:rsidTr="000A05B8">
        <w:trPr>
          <w:trHeight w:val="473"/>
        </w:trPr>
        <w:tc>
          <w:tcPr>
            <w:tcW w:w="3060" w:type="dxa"/>
            <w:vAlign w:val="center"/>
          </w:tcPr>
          <w:p w14:paraId="44893ED1" w14:textId="77777777" w:rsidR="00651808" w:rsidRPr="001221DF" w:rsidRDefault="00651808" w:rsidP="00651808">
            <w:pPr>
              <w:spacing w:after="0" w:line="240" w:lineRule="auto"/>
              <w:rPr>
                <w:rFonts w:cstheme="minorHAnsi"/>
                <w:sz w:val="16"/>
                <w:szCs w:val="16"/>
                <w:lang w:val="es-CR"/>
              </w:rPr>
            </w:pPr>
          </w:p>
        </w:tc>
        <w:tc>
          <w:tcPr>
            <w:tcW w:w="1737" w:type="dxa"/>
            <w:vAlign w:val="center"/>
          </w:tcPr>
          <w:p w14:paraId="6F35537A" w14:textId="15650AC2" w:rsidR="00651808" w:rsidRDefault="00651808" w:rsidP="004B7C0C">
            <w:pPr>
              <w:tabs>
                <w:tab w:val="decimal" w:pos="1200"/>
              </w:tabs>
              <w:spacing w:after="0" w:line="240" w:lineRule="auto"/>
              <w:jc w:val="both"/>
              <w:rPr>
                <w:rFonts w:cstheme="minorHAnsi"/>
                <w:b/>
                <w:bCs/>
                <w:sz w:val="16"/>
                <w:szCs w:val="16"/>
                <w:lang w:val="es-CR"/>
              </w:rPr>
            </w:pPr>
            <w:r w:rsidRPr="00976F45">
              <w:rPr>
                <w:rFonts w:cstheme="minorHAnsi"/>
                <w:b/>
                <w:bCs/>
                <w:sz w:val="16"/>
                <w:szCs w:val="16"/>
                <w:lang w:val="es-CR"/>
              </w:rPr>
              <w:t>RD$</w:t>
            </w:r>
          </w:p>
          <w:p w14:paraId="4EEAC82A" w14:textId="3B5DF3AB" w:rsidR="00B16C34" w:rsidRPr="00D17C3A" w:rsidRDefault="00B16C34" w:rsidP="004B7C0C">
            <w:pPr>
              <w:tabs>
                <w:tab w:val="decimal" w:pos="1200"/>
              </w:tabs>
              <w:spacing w:after="0" w:line="240" w:lineRule="auto"/>
              <w:jc w:val="both"/>
              <w:rPr>
                <w:rFonts w:cstheme="minorHAnsi"/>
                <w:b/>
                <w:bCs/>
                <w:sz w:val="16"/>
                <w:szCs w:val="16"/>
                <w:lang w:val="es-CR"/>
              </w:rPr>
            </w:pPr>
            <w:r>
              <w:rPr>
                <w:rFonts w:cstheme="minorHAnsi"/>
                <w:b/>
                <w:bCs/>
                <w:sz w:val="16"/>
                <w:szCs w:val="16"/>
                <w:lang w:val="es-CR"/>
              </w:rPr>
              <w:t>23,</w:t>
            </w:r>
            <w:r w:rsidR="00702AA8">
              <w:rPr>
                <w:rFonts w:cstheme="minorHAnsi"/>
                <w:b/>
                <w:bCs/>
                <w:sz w:val="16"/>
                <w:szCs w:val="16"/>
                <w:lang w:val="es-CR"/>
              </w:rPr>
              <w:t>754,004,549</w:t>
            </w:r>
          </w:p>
        </w:tc>
        <w:tc>
          <w:tcPr>
            <w:tcW w:w="1773" w:type="dxa"/>
            <w:vAlign w:val="center"/>
          </w:tcPr>
          <w:p w14:paraId="564A2C0C" w14:textId="605A737D" w:rsidR="0081147A" w:rsidRDefault="00651808" w:rsidP="005E7128">
            <w:pPr>
              <w:tabs>
                <w:tab w:val="decimal" w:pos="1508"/>
              </w:tabs>
              <w:spacing w:after="0" w:line="240" w:lineRule="auto"/>
              <w:jc w:val="both"/>
              <w:rPr>
                <w:rFonts w:cstheme="minorHAnsi"/>
                <w:b/>
                <w:bCs/>
                <w:sz w:val="16"/>
                <w:szCs w:val="16"/>
                <w:lang w:val="es-CR"/>
              </w:rPr>
            </w:pPr>
            <w:r w:rsidRPr="00976F45">
              <w:rPr>
                <w:rFonts w:cstheme="minorHAnsi"/>
                <w:b/>
                <w:bCs/>
                <w:sz w:val="16"/>
                <w:szCs w:val="16"/>
                <w:lang w:val="es-CR"/>
              </w:rPr>
              <w:t>RD$</w:t>
            </w:r>
          </w:p>
          <w:p w14:paraId="22526471" w14:textId="0CADBBDF" w:rsidR="00B16C34" w:rsidRPr="00D17C3A" w:rsidRDefault="00B16C34" w:rsidP="005E7128">
            <w:pPr>
              <w:tabs>
                <w:tab w:val="decimal" w:pos="1508"/>
              </w:tabs>
              <w:spacing w:after="0" w:line="240" w:lineRule="auto"/>
              <w:jc w:val="both"/>
              <w:rPr>
                <w:rFonts w:cstheme="minorHAnsi"/>
                <w:b/>
                <w:bCs/>
                <w:sz w:val="16"/>
                <w:szCs w:val="16"/>
                <w:lang w:val="es-CR"/>
              </w:rPr>
            </w:pPr>
            <w:r>
              <w:rPr>
                <w:rFonts w:cstheme="minorHAnsi"/>
                <w:b/>
                <w:bCs/>
                <w:sz w:val="16"/>
                <w:szCs w:val="16"/>
                <w:lang w:val="es-CR"/>
              </w:rPr>
              <w:t>11,465,485,433</w:t>
            </w:r>
          </w:p>
        </w:tc>
        <w:tc>
          <w:tcPr>
            <w:tcW w:w="1557" w:type="dxa"/>
            <w:vAlign w:val="center"/>
          </w:tcPr>
          <w:p w14:paraId="1F721239" w14:textId="79572432" w:rsidR="00651808" w:rsidRPr="00651808" w:rsidRDefault="00651808" w:rsidP="000A05B8">
            <w:pPr>
              <w:tabs>
                <w:tab w:val="decimal" w:pos="1362"/>
              </w:tabs>
              <w:spacing w:after="0" w:line="240" w:lineRule="auto"/>
              <w:jc w:val="both"/>
              <w:rPr>
                <w:rFonts w:cstheme="minorHAnsi"/>
                <w:b/>
                <w:bCs/>
                <w:sz w:val="16"/>
                <w:szCs w:val="16"/>
                <w:lang w:val="es-CR"/>
              </w:rPr>
            </w:pPr>
            <w:r w:rsidRPr="00976F45">
              <w:rPr>
                <w:rFonts w:cstheme="minorHAnsi"/>
                <w:b/>
                <w:bCs/>
                <w:sz w:val="16"/>
                <w:szCs w:val="16"/>
                <w:lang w:val="es-CR"/>
              </w:rPr>
              <w:t>RD$</w:t>
            </w:r>
            <w:r w:rsidR="0081147A">
              <w:rPr>
                <w:rFonts w:cstheme="minorHAnsi"/>
                <w:b/>
                <w:bCs/>
                <w:sz w:val="16"/>
                <w:szCs w:val="16"/>
                <w:lang w:val="es-CR"/>
              </w:rPr>
              <w:t>10,597,199,439</w:t>
            </w:r>
          </w:p>
        </w:tc>
        <w:tc>
          <w:tcPr>
            <w:tcW w:w="1530" w:type="dxa"/>
            <w:vAlign w:val="center"/>
          </w:tcPr>
          <w:p w14:paraId="6149C135" w14:textId="7353ED23" w:rsidR="00651808" w:rsidRPr="002A2110" w:rsidRDefault="00651808" w:rsidP="0015725E">
            <w:pPr>
              <w:tabs>
                <w:tab w:val="decimal" w:pos="1312"/>
              </w:tabs>
              <w:spacing w:after="0" w:line="240" w:lineRule="auto"/>
              <w:jc w:val="both"/>
              <w:rPr>
                <w:rFonts w:cstheme="minorHAnsi"/>
                <w:b/>
                <w:bCs/>
                <w:sz w:val="16"/>
                <w:szCs w:val="16"/>
                <w:lang w:val="es-CR"/>
              </w:rPr>
            </w:pPr>
            <w:r w:rsidRPr="002A2110">
              <w:rPr>
                <w:rFonts w:cstheme="minorHAnsi"/>
                <w:b/>
                <w:bCs/>
                <w:sz w:val="16"/>
                <w:szCs w:val="16"/>
                <w:lang w:val="es-CR"/>
              </w:rPr>
              <w:t>RD$17,015,072,962</w:t>
            </w:r>
          </w:p>
        </w:tc>
      </w:tr>
    </w:tbl>
    <w:p w14:paraId="4DDAFA3C" w14:textId="78DDA7FF" w:rsidR="00E90F6E" w:rsidRPr="001221DF" w:rsidRDefault="00472417" w:rsidP="00E90F6E">
      <w:pPr>
        <w:spacing w:after="200" w:line="276" w:lineRule="auto"/>
        <w:rPr>
          <w:rFonts w:cstheme="minorHAnsi"/>
          <w:szCs w:val="18"/>
          <w:lang w:val="es-CR"/>
        </w:rPr>
      </w:pPr>
      <w:r>
        <w:rPr>
          <w:rFonts w:cstheme="minorHAnsi"/>
          <w:szCs w:val="18"/>
          <w:lang w:val="es-CR"/>
        </w:rPr>
        <w:t>A continuación, se presentan los f</w:t>
      </w:r>
      <w:r w:rsidR="00E24F4A">
        <w:rPr>
          <w:rFonts w:cstheme="minorHAnsi"/>
          <w:szCs w:val="18"/>
          <w:lang w:val="es-CR"/>
        </w:rPr>
        <w:t>lujos confirmados por las Entidades de Gobierno para Empresa Extractiva participante en el Cotejo 2019 y 2020</w:t>
      </w:r>
      <w:r w:rsidR="00EC7A0E">
        <w:rPr>
          <w:rFonts w:cstheme="minorHAnsi"/>
          <w:szCs w:val="18"/>
          <w:lang w:val="es-CR"/>
        </w:rPr>
        <w:t>, comparados con aquellos confirmados en el cotejo del 2018 y 2017</w:t>
      </w:r>
      <w:r w:rsidR="00E24F4A">
        <w:rPr>
          <w:rFonts w:cstheme="minorHAnsi"/>
          <w:szCs w:val="18"/>
          <w:lang w:val="es-CR"/>
        </w:rPr>
        <w:t xml:space="preserve">: </w:t>
      </w:r>
    </w:p>
    <w:tbl>
      <w:tblPr>
        <w:tblStyle w:val="Style2"/>
        <w:tblW w:w="9657" w:type="dxa"/>
        <w:tblLayout w:type="fixed"/>
        <w:tblLook w:val="04A0" w:firstRow="1" w:lastRow="0" w:firstColumn="1" w:lastColumn="0" w:noHBand="0" w:noVBand="1"/>
      </w:tblPr>
      <w:tblGrid>
        <w:gridCol w:w="3096"/>
        <w:gridCol w:w="1701"/>
        <w:gridCol w:w="1773"/>
        <w:gridCol w:w="1557"/>
        <w:gridCol w:w="1530"/>
      </w:tblGrid>
      <w:tr w:rsidR="00651808" w:rsidRPr="001221DF" w14:paraId="2F87894D" w14:textId="5340BE7D" w:rsidTr="000A05B8">
        <w:trPr>
          <w:cnfStyle w:val="100000000000" w:firstRow="1" w:lastRow="0" w:firstColumn="0" w:lastColumn="0" w:oddVBand="0" w:evenVBand="0" w:oddHBand="0" w:evenHBand="0" w:firstRowFirstColumn="0" w:firstRowLastColumn="0" w:lastRowFirstColumn="0" w:lastRowLastColumn="0"/>
          <w:trHeight w:val="394"/>
        </w:trPr>
        <w:tc>
          <w:tcPr>
            <w:tcW w:w="3096" w:type="dxa"/>
            <w:shd w:val="clear" w:color="auto" w:fill="86BC25" w:themeFill="accent1"/>
            <w:vAlign w:val="center"/>
          </w:tcPr>
          <w:p w14:paraId="64BEAD61" w14:textId="77777777" w:rsidR="00651808" w:rsidRPr="0090734B" w:rsidRDefault="00651808" w:rsidP="0090734B">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Empresa Extractiva</w:t>
            </w:r>
          </w:p>
        </w:tc>
        <w:tc>
          <w:tcPr>
            <w:tcW w:w="1701" w:type="dxa"/>
            <w:shd w:val="clear" w:color="auto" w:fill="86BC25" w:themeFill="accent1"/>
            <w:vAlign w:val="center"/>
          </w:tcPr>
          <w:p w14:paraId="7C22C362" w14:textId="429FD788" w:rsidR="00651808" w:rsidRPr="0090734B" w:rsidRDefault="00651808" w:rsidP="0090734B">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2020</w:t>
            </w:r>
          </w:p>
        </w:tc>
        <w:tc>
          <w:tcPr>
            <w:tcW w:w="1773" w:type="dxa"/>
            <w:shd w:val="clear" w:color="auto" w:fill="86BC25" w:themeFill="accent1"/>
            <w:vAlign w:val="center"/>
          </w:tcPr>
          <w:p w14:paraId="5CAE8DEC" w14:textId="0543C6A9" w:rsidR="00651808" w:rsidRPr="0090734B" w:rsidRDefault="00651808" w:rsidP="0090734B">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2019</w:t>
            </w:r>
          </w:p>
        </w:tc>
        <w:tc>
          <w:tcPr>
            <w:tcW w:w="1557" w:type="dxa"/>
            <w:shd w:val="clear" w:color="auto" w:fill="86BC25" w:themeFill="accent1"/>
            <w:vAlign w:val="center"/>
          </w:tcPr>
          <w:p w14:paraId="1ED1D311" w14:textId="1AE7A42C" w:rsidR="00651808" w:rsidRPr="0090734B" w:rsidRDefault="00651808" w:rsidP="0090734B">
            <w:pPr>
              <w:spacing w:after="0" w:line="240" w:lineRule="auto"/>
              <w:jc w:val="center"/>
              <w:rPr>
                <w:rFonts w:cstheme="minorHAnsi"/>
                <w:b/>
                <w:color w:val="FFFFFF" w:themeColor="background1"/>
                <w:sz w:val="16"/>
                <w:szCs w:val="16"/>
                <w:lang w:val="es-CR"/>
              </w:rPr>
            </w:pPr>
            <w:r w:rsidRPr="0090734B">
              <w:rPr>
                <w:rFonts w:cstheme="minorHAnsi"/>
                <w:b/>
                <w:color w:val="FFFFFF" w:themeColor="background1"/>
                <w:sz w:val="16"/>
                <w:szCs w:val="16"/>
                <w:lang w:val="es-CR"/>
              </w:rPr>
              <w:t>2018</w:t>
            </w:r>
          </w:p>
        </w:tc>
        <w:tc>
          <w:tcPr>
            <w:tcW w:w="1530" w:type="dxa"/>
            <w:shd w:val="clear" w:color="auto" w:fill="86BC25" w:themeFill="accent1"/>
            <w:vAlign w:val="center"/>
          </w:tcPr>
          <w:p w14:paraId="75D8A8CF" w14:textId="4D422D09" w:rsidR="00651808" w:rsidRPr="0090734B" w:rsidRDefault="00651808" w:rsidP="0090734B">
            <w:pPr>
              <w:spacing w:after="0" w:line="240" w:lineRule="auto"/>
              <w:jc w:val="center"/>
              <w:rPr>
                <w:rFonts w:cstheme="minorHAnsi"/>
                <w:b/>
                <w:color w:val="FFFFFF" w:themeColor="background1"/>
                <w:sz w:val="16"/>
                <w:szCs w:val="16"/>
                <w:lang w:val="es-CR"/>
              </w:rPr>
            </w:pPr>
            <w:r>
              <w:rPr>
                <w:rFonts w:cstheme="minorHAnsi"/>
                <w:b/>
                <w:color w:val="FFFFFF" w:themeColor="background1"/>
                <w:sz w:val="16"/>
                <w:szCs w:val="16"/>
                <w:lang w:val="es-CR"/>
              </w:rPr>
              <w:t>2017</w:t>
            </w:r>
          </w:p>
        </w:tc>
      </w:tr>
      <w:tr w:rsidR="00651808" w:rsidRPr="001221DF" w14:paraId="6D6DCA1C" w14:textId="13D10084" w:rsidTr="000A05B8">
        <w:trPr>
          <w:trHeight w:val="423"/>
        </w:trPr>
        <w:tc>
          <w:tcPr>
            <w:tcW w:w="3096" w:type="dxa"/>
            <w:vAlign w:val="center"/>
          </w:tcPr>
          <w:p w14:paraId="7DAB1E65" w14:textId="77777777" w:rsidR="00651808" w:rsidRPr="001221DF" w:rsidRDefault="00651808" w:rsidP="0090734B">
            <w:pPr>
              <w:spacing w:after="0" w:line="240" w:lineRule="auto"/>
              <w:rPr>
                <w:rFonts w:cstheme="minorHAnsi"/>
                <w:sz w:val="16"/>
                <w:szCs w:val="16"/>
                <w:lang w:val="es-CR"/>
              </w:rPr>
            </w:pPr>
            <w:r w:rsidRPr="001221DF">
              <w:rPr>
                <w:rFonts w:cstheme="minorHAnsi"/>
                <w:sz w:val="16"/>
                <w:szCs w:val="16"/>
                <w:lang w:val="es-CR"/>
              </w:rPr>
              <w:t>Pueblo Viejo Dominicana Corporation – Sucursal en la República Dominicana</w:t>
            </w:r>
          </w:p>
        </w:tc>
        <w:tc>
          <w:tcPr>
            <w:tcW w:w="1701" w:type="dxa"/>
            <w:vAlign w:val="center"/>
          </w:tcPr>
          <w:p w14:paraId="199A2E57" w14:textId="090D7966" w:rsidR="00651808" w:rsidRDefault="00651808" w:rsidP="00F30704">
            <w:pPr>
              <w:tabs>
                <w:tab w:val="decimal" w:pos="1596"/>
              </w:tabs>
              <w:spacing w:after="0" w:line="240" w:lineRule="auto"/>
              <w:jc w:val="both"/>
              <w:rPr>
                <w:rFonts w:cstheme="minorHAnsi"/>
                <w:sz w:val="16"/>
                <w:szCs w:val="16"/>
                <w:lang w:val="es-CR"/>
              </w:rPr>
            </w:pPr>
            <w:r w:rsidRPr="001221DF">
              <w:rPr>
                <w:rFonts w:cstheme="minorHAnsi"/>
                <w:sz w:val="16"/>
                <w:szCs w:val="16"/>
                <w:lang w:val="es-CR"/>
              </w:rPr>
              <w:t>RD$</w:t>
            </w:r>
          </w:p>
          <w:p w14:paraId="014DA977" w14:textId="77CF7536" w:rsidR="00702AA8" w:rsidRPr="001221DF" w:rsidRDefault="00702AA8" w:rsidP="00F30704">
            <w:pPr>
              <w:tabs>
                <w:tab w:val="decimal" w:pos="1596"/>
              </w:tabs>
              <w:spacing w:after="0" w:line="240" w:lineRule="auto"/>
              <w:jc w:val="both"/>
              <w:rPr>
                <w:rFonts w:cstheme="minorHAnsi"/>
                <w:sz w:val="16"/>
                <w:szCs w:val="16"/>
                <w:lang w:val="es-CR"/>
              </w:rPr>
            </w:pPr>
            <w:r>
              <w:rPr>
                <w:rFonts w:cstheme="minorHAnsi"/>
                <w:sz w:val="16"/>
                <w:szCs w:val="16"/>
                <w:lang w:val="es-CR"/>
              </w:rPr>
              <w:t>23,446,582,127</w:t>
            </w:r>
          </w:p>
        </w:tc>
        <w:tc>
          <w:tcPr>
            <w:tcW w:w="1773" w:type="dxa"/>
            <w:vAlign w:val="center"/>
          </w:tcPr>
          <w:p w14:paraId="62B2A5DD" w14:textId="64F7029D" w:rsidR="00651808" w:rsidRDefault="00651808" w:rsidP="00F30704">
            <w:pPr>
              <w:tabs>
                <w:tab w:val="decimal" w:pos="1596"/>
              </w:tabs>
              <w:spacing w:after="0" w:line="240" w:lineRule="auto"/>
              <w:jc w:val="both"/>
              <w:rPr>
                <w:rFonts w:cstheme="minorHAnsi"/>
                <w:sz w:val="16"/>
                <w:szCs w:val="16"/>
                <w:lang w:val="es-CR"/>
              </w:rPr>
            </w:pPr>
            <w:r w:rsidRPr="001221DF">
              <w:rPr>
                <w:rFonts w:cstheme="minorHAnsi"/>
                <w:sz w:val="16"/>
                <w:szCs w:val="16"/>
                <w:lang w:val="es-CR"/>
              </w:rPr>
              <w:t>RD$</w:t>
            </w:r>
          </w:p>
          <w:p w14:paraId="1B6ADB5A" w14:textId="4FC83254" w:rsidR="00702AA8" w:rsidRPr="001221DF" w:rsidRDefault="00702AA8" w:rsidP="00F30704">
            <w:pPr>
              <w:tabs>
                <w:tab w:val="decimal" w:pos="1596"/>
              </w:tabs>
              <w:spacing w:after="0" w:line="240" w:lineRule="auto"/>
              <w:jc w:val="both"/>
              <w:rPr>
                <w:rFonts w:cstheme="minorHAnsi"/>
                <w:sz w:val="16"/>
                <w:szCs w:val="16"/>
                <w:lang w:val="es-CR"/>
              </w:rPr>
            </w:pPr>
            <w:r>
              <w:rPr>
                <w:rFonts w:cstheme="minorHAnsi"/>
                <w:sz w:val="16"/>
                <w:szCs w:val="16"/>
                <w:lang w:val="es-CR"/>
              </w:rPr>
              <w:t>11,179,156,556</w:t>
            </w:r>
          </w:p>
        </w:tc>
        <w:tc>
          <w:tcPr>
            <w:tcW w:w="1557" w:type="dxa"/>
            <w:vAlign w:val="center"/>
          </w:tcPr>
          <w:p w14:paraId="3B83E6DC" w14:textId="0BD6F661" w:rsidR="00651808" w:rsidRPr="001221DF" w:rsidRDefault="00651808" w:rsidP="00F30704">
            <w:pPr>
              <w:tabs>
                <w:tab w:val="decimal" w:pos="1596"/>
              </w:tabs>
              <w:spacing w:after="0" w:line="240" w:lineRule="auto"/>
              <w:jc w:val="both"/>
              <w:rPr>
                <w:rFonts w:cstheme="minorHAnsi"/>
                <w:sz w:val="16"/>
                <w:szCs w:val="16"/>
                <w:lang w:val="es-CR"/>
              </w:rPr>
            </w:pPr>
            <w:r w:rsidRPr="001221DF">
              <w:rPr>
                <w:rFonts w:cstheme="minorHAnsi"/>
                <w:sz w:val="16"/>
                <w:szCs w:val="16"/>
                <w:lang w:val="es-CR"/>
              </w:rPr>
              <w:t xml:space="preserve"> RD$</w:t>
            </w:r>
            <w:r w:rsidR="00763257">
              <w:rPr>
                <w:rFonts w:cstheme="minorHAnsi"/>
                <w:sz w:val="16"/>
                <w:szCs w:val="16"/>
                <w:lang w:val="es-CR"/>
              </w:rPr>
              <w:t xml:space="preserve">  </w:t>
            </w:r>
            <w:r w:rsidRPr="001221DF">
              <w:rPr>
                <w:rFonts w:cstheme="minorHAnsi"/>
                <w:sz w:val="16"/>
                <w:szCs w:val="16"/>
                <w:lang w:val="es-CR"/>
              </w:rPr>
              <w:t xml:space="preserve">9,872,556,842 </w:t>
            </w:r>
          </w:p>
        </w:tc>
        <w:tc>
          <w:tcPr>
            <w:tcW w:w="1530" w:type="dxa"/>
            <w:vAlign w:val="center"/>
          </w:tcPr>
          <w:p w14:paraId="540D9068" w14:textId="2659BE34" w:rsidR="00651808" w:rsidRPr="001221DF" w:rsidRDefault="00651808" w:rsidP="000A05B8">
            <w:pPr>
              <w:tabs>
                <w:tab w:val="decimal" w:pos="1321"/>
              </w:tabs>
              <w:spacing w:after="0" w:line="240" w:lineRule="auto"/>
              <w:jc w:val="both"/>
              <w:rPr>
                <w:rFonts w:cstheme="minorHAnsi"/>
                <w:sz w:val="16"/>
                <w:szCs w:val="16"/>
                <w:lang w:val="es-CR"/>
              </w:rPr>
            </w:pPr>
            <w:r w:rsidRPr="002A2110">
              <w:rPr>
                <w:rFonts w:cstheme="minorHAnsi"/>
                <w:sz w:val="16"/>
                <w:szCs w:val="16"/>
                <w:lang w:val="es-CR"/>
              </w:rPr>
              <w:t>RD$16,771,220,226</w:t>
            </w:r>
          </w:p>
        </w:tc>
      </w:tr>
      <w:tr w:rsidR="00651808" w:rsidRPr="001221DF" w14:paraId="65ABB452" w14:textId="2769D86C" w:rsidTr="000A05B8">
        <w:trPr>
          <w:cnfStyle w:val="000000010000" w:firstRow="0" w:lastRow="0" w:firstColumn="0" w:lastColumn="0" w:oddVBand="0" w:evenVBand="0" w:oddHBand="0" w:evenHBand="1" w:firstRowFirstColumn="0" w:firstRowLastColumn="0" w:lastRowFirstColumn="0" w:lastRowLastColumn="0"/>
          <w:trHeight w:val="423"/>
        </w:trPr>
        <w:tc>
          <w:tcPr>
            <w:tcW w:w="3096" w:type="dxa"/>
            <w:vAlign w:val="center"/>
          </w:tcPr>
          <w:p w14:paraId="27EF8547" w14:textId="77777777" w:rsidR="00651808" w:rsidRPr="001221DF" w:rsidRDefault="00651808" w:rsidP="0090734B">
            <w:pPr>
              <w:spacing w:after="0" w:line="240" w:lineRule="auto"/>
              <w:rPr>
                <w:rFonts w:cstheme="minorHAnsi"/>
                <w:sz w:val="16"/>
                <w:szCs w:val="16"/>
                <w:lang w:val="es-CR"/>
              </w:rPr>
            </w:pPr>
            <w:r w:rsidRPr="001221DF">
              <w:rPr>
                <w:rFonts w:cstheme="minorHAnsi"/>
                <w:sz w:val="16"/>
                <w:szCs w:val="16"/>
                <w:lang w:val="es-CR"/>
              </w:rPr>
              <w:t>Falconbridge Dominicana, S. A.</w:t>
            </w:r>
          </w:p>
        </w:tc>
        <w:tc>
          <w:tcPr>
            <w:tcW w:w="1701" w:type="dxa"/>
            <w:vAlign w:val="center"/>
          </w:tcPr>
          <w:p w14:paraId="58B00337" w14:textId="7124B514" w:rsidR="00651808" w:rsidRPr="001221DF" w:rsidRDefault="00651808" w:rsidP="00F30704">
            <w:pPr>
              <w:tabs>
                <w:tab w:val="decimal" w:pos="1596"/>
              </w:tabs>
              <w:spacing w:after="0" w:line="240" w:lineRule="auto"/>
              <w:jc w:val="both"/>
              <w:rPr>
                <w:rFonts w:cstheme="minorHAnsi"/>
                <w:sz w:val="16"/>
                <w:szCs w:val="16"/>
                <w:lang w:val="es-CR"/>
              </w:rPr>
            </w:pPr>
            <w:r>
              <w:rPr>
                <w:rFonts w:cstheme="minorHAnsi"/>
                <w:sz w:val="16"/>
                <w:szCs w:val="16"/>
                <w:lang w:val="es-CR"/>
              </w:rPr>
              <w:t>92,758,649</w:t>
            </w:r>
          </w:p>
        </w:tc>
        <w:tc>
          <w:tcPr>
            <w:tcW w:w="1773" w:type="dxa"/>
            <w:vAlign w:val="center"/>
          </w:tcPr>
          <w:p w14:paraId="7378358F" w14:textId="29733A1E" w:rsidR="00651808" w:rsidRPr="001221DF" w:rsidRDefault="00651808" w:rsidP="00F30704">
            <w:pPr>
              <w:tabs>
                <w:tab w:val="decimal" w:pos="1596"/>
              </w:tabs>
              <w:spacing w:after="0" w:line="240" w:lineRule="auto"/>
              <w:jc w:val="both"/>
              <w:rPr>
                <w:rFonts w:cstheme="minorHAnsi"/>
                <w:sz w:val="16"/>
                <w:szCs w:val="16"/>
                <w:lang w:val="es-CR"/>
              </w:rPr>
            </w:pPr>
            <w:r>
              <w:rPr>
                <w:rFonts w:cstheme="minorHAnsi"/>
                <w:sz w:val="16"/>
                <w:szCs w:val="16"/>
                <w:lang w:val="es-CR"/>
              </w:rPr>
              <w:t>68,032,998</w:t>
            </w:r>
          </w:p>
        </w:tc>
        <w:tc>
          <w:tcPr>
            <w:tcW w:w="1557" w:type="dxa"/>
            <w:vAlign w:val="center"/>
          </w:tcPr>
          <w:p w14:paraId="79DFB3CA" w14:textId="52BA0F8D" w:rsidR="00651808" w:rsidRPr="001221DF" w:rsidRDefault="00651808" w:rsidP="00F30704">
            <w:pPr>
              <w:tabs>
                <w:tab w:val="decimal" w:pos="1596"/>
              </w:tabs>
              <w:spacing w:after="0" w:line="240" w:lineRule="auto"/>
              <w:jc w:val="both"/>
              <w:rPr>
                <w:rFonts w:cstheme="minorHAnsi"/>
                <w:sz w:val="16"/>
                <w:szCs w:val="16"/>
                <w:lang w:val="es-CR"/>
              </w:rPr>
            </w:pPr>
            <w:r w:rsidRPr="001221DF">
              <w:rPr>
                <w:rFonts w:cstheme="minorHAnsi"/>
                <w:sz w:val="16"/>
                <w:szCs w:val="16"/>
                <w:lang w:val="es-CR"/>
              </w:rPr>
              <w:t xml:space="preserve">           69,706,651 </w:t>
            </w:r>
          </w:p>
        </w:tc>
        <w:tc>
          <w:tcPr>
            <w:tcW w:w="1530" w:type="dxa"/>
            <w:vAlign w:val="center"/>
          </w:tcPr>
          <w:p w14:paraId="22A07DA1" w14:textId="57E7CB71" w:rsidR="00651808" w:rsidRPr="001221DF" w:rsidRDefault="00651808" w:rsidP="000A05B8">
            <w:pPr>
              <w:tabs>
                <w:tab w:val="decimal" w:pos="1321"/>
              </w:tabs>
              <w:spacing w:after="0" w:line="240" w:lineRule="auto"/>
              <w:jc w:val="both"/>
              <w:rPr>
                <w:rFonts w:cstheme="minorHAnsi"/>
                <w:sz w:val="16"/>
                <w:szCs w:val="16"/>
                <w:lang w:val="es-CR"/>
              </w:rPr>
            </w:pPr>
            <w:r w:rsidRPr="002A2110">
              <w:rPr>
                <w:rFonts w:cstheme="minorHAnsi"/>
                <w:sz w:val="16"/>
                <w:szCs w:val="16"/>
                <w:lang w:val="es-CR"/>
              </w:rPr>
              <w:t>63,753,262</w:t>
            </w:r>
          </w:p>
        </w:tc>
      </w:tr>
      <w:tr w:rsidR="00651808" w:rsidRPr="001221DF" w14:paraId="4F9DF0BD" w14:textId="02004D87" w:rsidTr="000A05B8">
        <w:trPr>
          <w:trHeight w:val="423"/>
        </w:trPr>
        <w:tc>
          <w:tcPr>
            <w:tcW w:w="3096" w:type="dxa"/>
            <w:vAlign w:val="center"/>
          </w:tcPr>
          <w:p w14:paraId="20A37BE9" w14:textId="651F66EB" w:rsidR="00651808" w:rsidRPr="001221DF" w:rsidRDefault="00651808" w:rsidP="0090734B">
            <w:pPr>
              <w:spacing w:after="0" w:line="240" w:lineRule="auto"/>
              <w:rPr>
                <w:rFonts w:cstheme="minorHAnsi"/>
                <w:sz w:val="16"/>
                <w:szCs w:val="16"/>
                <w:lang w:val="es-CR"/>
              </w:rPr>
            </w:pPr>
            <w:r>
              <w:rPr>
                <w:rFonts w:cstheme="minorHAnsi"/>
                <w:sz w:val="16"/>
                <w:szCs w:val="16"/>
                <w:lang w:val="es-CR"/>
              </w:rPr>
              <w:t>CORMIDOM</w:t>
            </w:r>
          </w:p>
        </w:tc>
        <w:tc>
          <w:tcPr>
            <w:tcW w:w="1701" w:type="dxa"/>
            <w:vAlign w:val="center"/>
          </w:tcPr>
          <w:p w14:paraId="3AD55524" w14:textId="74D8CD09" w:rsidR="00651808" w:rsidRPr="001221DF" w:rsidRDefault="00651808" w:rsidP="00F30704">
            <w:pPr>
              <w:tabs>
                <w:tab w:val="decimal" w:pos="1596"/>
              </w:tabs>
              <w:spacing w:after="0" w:line="240" w:lineRule="auto"/>
              <w:jc w:val="both"/>
              <w:rPr>
                <w:rFonts w:cstheme="minorHAnsi"/>
                <w:sz w:val="16"/>
                <w:szCs w:val="16"/>
                <w:lang w:val="es-CR"/>
              </w:rPr>
            </w:pPr>
            <w:r>
              <w:rPr>
                <w:rFonts w:cstheme="minorHAnsi"/>
                <w:sz w:val="16"/>
                <w:szCs w:val="16"/>
                <w:lang w:val="es-CR"/>
              </w:rPr>
              <w:t>214,663,773</w:t>
            </w:r>
          </w:p>
        </w:tc>
        <w:tc>
          <w:tcPr>
            <w:tcW w:w="1773" w:type="dxa"/>
            <w:vAlign w:val="center"/>
          </w:tcPr>
          <w:p w14:paraId="2530191A" w14:textId="11C9FE87" w:rsidR="00651808" w:rsidRPr="001221DF" w:rsidRDefault="00651808" w:rsidP="00F30704">
            <w:pPr>
              <w:tabs>
                <w:tab w:val="decimal" w:pos="1596"/>
              </w:tabs>
              <w:spacing w:after="0" w:line="240" w:lineRule="auto"/>
              <w:jc w:val="both"/>
              <w:rPr>
                <w:rFonts w:cstheme="minorHAnsi"/>
                <w:sz w:val="16"/>
                <w:szCs w:val="16"/>
                <w:lang w:val="es-CR"/>
              </w:rPr>
            </w:pPr>
            <w:r>
              <w:rPr>
                <w:rFonts w:cstheme="minorHAnsi"/>
                <w:sz w:val="16"/>
                <w:szCs w:val="16"/>
                <w:lang w:val="es-CR"/>
              </w:rPr>
              <w:t>218,290,580</w:t>
            </w:r>
          </w:p>
        </w:tc>
        <w:tc>
          <w:tcPr>
            <w:tcW w:w="1557" w:type="dxa"/>
            <w:vAlign w:val="center"/>
          </w:tcPr>
          <w:p w14:paraId="413FB7D0" w14:textId="28526156" w:rsidR="00651808" w:rsidRPr="001221DF" w:rsidRDefault="00651808" w:rsidP="00F30704">
            <w:pPr>
              <w:tabs>
                <w:tab w:val="decimal" w:pos="1596"/>
              </w:tabs>
              <w:spacing w:after="0" w:line="240" w:lineRule="auto"/>
              <w:jc w:val="both"/>
              <w:rPr>
                <w:rFonts w:cstheme="minorHAnsi"/>
                <w:sz w:val="16"/>
                <w:szCs w:val="16"/>
                <w:lang w:val="es-CR"/>
              </w:rPr>
            </w:pPr>
            <w:r w:rsidRPr="001221DF">
              <w:rPr>
                <w:rFonts w:cstheme="minorHAnsi"/>
                <w:sz w:val="16"/>
                <w:szCs w:val="16"/>
                <w:lang w:val="es-CR"/>
              </w:rPr>
              <w:t>512,440,574</w:t>
            </w:r>
          </w:p>
        </w:tc>
        <w:tc>
          <w:tcPr>
            <w:tcW w:w="1530" w:type="dxa"/>
            <w:vAlign w:val="center"/>
          </w:tcPr>
          <w:p w14:paraId="60AAE4D2" w14:textId="07769695" w:rsidR="00651808" w:rsidRPr="001221DF" w:rsidRDefault="00651808" w:rsidP="000A05B8">
            <w:pPr>
              <w:tabs>
                <w:tab w:val="decimal" w:pos="1321"/>
              </w:tabs>
              <w:spacing w:after="0" w:line="240" w:lineRule="auto"/>
              <w:jc w:val="both"/>
              <w:rPr>
                <w:rFonts w:cstheme="minorHAnsi"/>
                <w:sz w:val="16"/>
                <w:szCs w:val="16"/>
                <w:lang w:val="es-CR"/>
              </w:rPr>
            </w:pPr>
            <w:r w:rsidRPr="002A2110">
              <w:rPr>
                <w:rFonts w:cstheme="minorHAnsi"/>
                <w:sz w:val="16"/>
                <w:szCs w:val="16"/>
                <w:lang w:val="es-CR"/>
              </w:rPr>
              <w:t>61,322,352</w:t>
            </w:r>
          </w:p>
        </w:tc>
      </w:tr>
      <w:tr w:rsidR="00651808" w:rsidRPr="001221DF" w14:paraId="582EFFB0" w14:textId="17192FA6" w:rsidTr="000A05B8">
        <w:trPr>
          <w:cnfStyle w:val="000000010000" w:firstRow="0" w:lastRow="0" w:firstColumn="0" w:lastColumn="0" w:oddVBand="0" w:evenVBand="0" w:oddHBand="0" w:evenHBand="1" w:firstRowFirstColumn="0" w:firstRowLastColumn="0" w:lastRowFirstColumn="0" w:lastRowLastColumn="0"/>
          <w:trHeight w:val="423"/>
        </w:trPr>
        <w:tc>
          <w:tcPr>
            <w:tcW w:w="3096" w:type="dxa"/>
            <w:vAlign w:val="center"/>
          </w:tcPr>
          <w:p w14:paraId="58EC1B98" w14:textId="483F4477" w:rsidR="00651808" w:rsidRPr="001221DF" w:rsidRDefault="00651808" w:rsidP="0090734B">
            <w:pPr>
              <w:spacing w:after="0" w:line="240" w:lineRule="auto"/>
              <w:rPr>
                <w:rFonts w:cstheme="minorHAnsi"/>
                <w:sz w:val="16"/>
                <w:szCs w:val="16"/>
                <w:lang w:val="es-CR"/>
              </w:rPr>
            </w:pPr>
            <w:r>
              <w:rPr>
                <w:rFonts w:cstheme="minorHAnsi"/>
                <w:sz w:val="16"/>
                <w:szCs w:val="16"/>
                <w:lang w:val="es-CR"/>
              </w:rPr>
              <w:t>Dovemco</w:t>
            </w:r>
          </w:p>
        </w:tc>
        <w:tc>
          <w:tcPr>
            <w:tcW w:w="1701" w:type="dxa"/>
            <w:vAlign w:val="center"/>
          </w:tcPr>
          <w:p w14:paraId="74EB68A3" w14:textId="14B273A7" w:rsidR="00651808" w:rsidRPr="001221DF" w:rsidRDefault="00651808" w:rsidP="00F30704">
            <w:pPr>
              <w:tabs>
                <w:tab w:val="decimal" w:pos="1596"/>
              </w:tabs>
              <w:spacing w:after="0" w:line="240" w:lineRule="auto"/>
              <w:jc w:val="both"/>
              <w:rPr>
                <w:rFonts w:cstheme="minorHAnsi"/>
                <w:sz w:val="16"/>
                <w:szCs w:val="16"/>
                <w:lang w:val="es-CR"/>
              </w:rPr>
            </w:pPr>
            <w:bookmarkStart w:id="3" w:name="DA_RN_3932341232200000059"/>
            <w:r>
              <w:rPr>
                <w:rFonts w:cstheme="minorHAnsi"/>
                <w:sz w:val="16"/>
                <w:szCs w:val="16"/>
                <w:lang w:val="es-CR"/>
              </w:rPr>
              <w:t>N</w:t>
            </w:r>
            <w:bookmarkEnd w:id="3"/>
            <w:r w:rsidR="00D73877">
              <w:rPr>
                <w:rFonts w:cstheme="minorHAnsi"/>
                <w:sz w:val="16"/>
                <w:szCs w:val="16"/>
                <w:lang w:val="es-CR"/>
              </w:rPr>
              <w:t>C</w:t>
            </w:r>
          </w:p>
        </w:tc>
        <w:tc>
          <w:tcPr>
            <w:tcW w:w="1773" w:type="dxa"/>
            <w:vAlign w:val="center"/>
          </w:tcPr>
          <w:p w14:paraId="061A2DEE" w14:textId="6CF8C577" w:rsidR="00651808" w:rsidRPr="001221DF" w:rsidRDefault="00651808" w:rsidP="00F30704">
            <w:pPr>
              <w:tabs>
                <w:tab w:val="decimal" w:pos="1596"/>
              </w:tabs>
              <w:spacing w:after="0" w:line="240" w:lineRule="auto"/>
              <w:jc w:val="both"/>
              <w:rPr>
                <w:rFonts w:cstheme="minorHAnsi"/>
                <w:sz w:val="16"/>
                <w:szCs w:val="16"/>
                <w:lang w:val="es-CR"/>
              </w:rPr>
            </w:pPr>
            <w:r>
              <w:rPr>
                <w:rFonts w:cstheme="minorHAnsi"/>
                <w:sz w:val="16"/>
                <w:szCs w:val="16"/>
                <w:lang w:val="es-CR"/>
              </w:rPr>
              <w:t>5,299</w:t>
            </w:r>
          </w:p>
        </w:tc>
        <w:tc>
          <w:tcPr>
            <w:tcW w:w="1557" w:type="dxa"/>
            <w:vAlign w:val="center"/>
          </w:tcPr>
          <w:p w14:paraId="3560A88D" w14:textId="22B865CC" w:rsidR="00651808" w:rsidRPr="001221DF" w:rsidRDefault="00651808" w:rsidP="00F30704">
            <w:pPr>
              <w:tabs>
                <w:tab w:val="decimal" w:pos="1596"/>
              </w:tabs>
              <w:spacing w:after="0" w:line="240" w:lineRule="auto"/>
              <w:jc w:val="both"/>
              <w:rPr>
                <w:rFonts w:cstheme="minorHAnsi"/>
                <w:sz w:val="16"/>
                <w:szCs w:val="16"/>
                <w:lang w:val="es-CR"/>
              </w:rPr>
            </w:pPr>
            <w:r>
              <w:rPr>
                <w:rFonts w:cstheme="minorHAnsi"/>
                <w:sz w:val="16"/>
                <w:szCs w:val="16"/>
                <w:lang w:val="es-CR"/>
              </w:rPr>
              <w:t>N/A</w:t>
            </w:r>
          </w:p>
        </w:tc>
        <w:tc>
          <w:tcPr>
            <w:tcW w:w="1530" w:type="dxa"/>
            <w:vAlign w:val="center"/>
          </w:tcPr>
          <w:p w14:paraId="3C45B83D" w14:textId="312B1901" w:rsidR="00651808" w:rsidRDefault="00C1462B" w:rsidP="000A05B8">
            <w:pPr>
              <w:tabs>
                <w:tab w:val="decimal" w:pos="1321"/>
              </w:tabs>
              <w:spacing w:after="0" w:line="240" w:lineRule="auto"/>
              <w:jc w:val="both"/>
              <w:rPr>
                <w:rFonts w:cstheme="minorHAnsi"/>
                <w:sz w:val="16"/>
                <w:szCs w:val="16"/>
                <w:lang w:val="es-CR"/>
              </w:rPr>
            </w:pPr>
            <w:r>
              <w:rPr>
                <w:rFonts w:cstheme="minorHAnsi"/>
                <w:sz w:val="16"/>
                <w:szCs w:val="16"/>
                <w:lang w:val="es-CR"/>
              </w:rPr>
              <w:t>N/A</w:t>
            </w:r>
          </w:p>
        </w:tc>
      </w:tr>
      <w:tr w:rsidR="00651808" w:rsidRPr="001221DF" w14:paraId="2B4CE6E9" w14:textId="77777777" w:rsidTr="000A05B8">
        <w:trPr>
          <w:trHeight w:val="423"/>
        </w:trPr>
        <w:tc>
          <w:tcPr>
            <w:tcW w:w="3096" w:type="dxa"/>
            <w:vAlign w:val="center"/>
          </w:tcPr>
          <w:p w14:paraId="0805C46C" w14:textId="203FEEE1" w:rsidR="00651808" w:rsidRDefault="00651808" w:rsidP="00651808">
            <w:pPr>
              <w:spacing w:after="0" w:line="240" w:lineRule="auto"/>
              <w:rPr>
                <w:rFonts w:cstheme="minorHAnsi"/>
                <w:sz w:val="16"/>
                <w:szCs w:val="16"/>
                <w:lang w:val="es-CR"/>
              </w:rPr>
            </w:pPr>
            <w:r w:rsidRPr="00F75E69">
              <w:rPr>
                <w:rFonts w:ascii="Verdana" w:hAnsi="Verdana"/>
                <w:sz w:val="16"/>
                <w:szCs w:val="16"/>
                <w:lang w:val="es-CR"/>
              </w:rPr>
              <w:t>EnviroGold- Las Lagunas- Limited</w:t>
            </w:r>
          </w:p>
        </w:tc>
        <w:tc>
          <w:tcPr>
            <w:tcW w:w="1701" w:type="dxa"/>
            <w:vAlign w:val="center"/>
          </w:tcPr>
          <w:p w14:paraId="604D1CED" w14:textId="1D0B9839" w:rsidR="00651808" w:rsidRDefault="00D73877" w:rsidP="00F30704">
            <w:pPr>
              <w:tabs>
                <w:tab w:val="decimal" w:pos="1596"/>
              </w:tabs>
              <w:spacing w:after="0" w:line="240" w:lineRule="auto"/>
              <w:jc w:val="both"/>
              <w:rPr>
                <w:rFonts w:cstheme="minorHAnsi"/>
                <w:sz w:val="16"/>
                <w:szCs w:val="16"/>
                <w:lang w:val="es-CR"/>
              </w:rPr>
            </w:pPr>
            <w:r>
              <w:rPr>
                <w:rFonts w:cstheme="minorHAnsi"/>
                <w:sz w:val="16"/>
                <w:szCs w:val="16"/>
                <w:lang w:val="es-CR"/>
              </w:rPr>
              <w:t>-</w:t>
            </w:r>
          </w:p>
        </w:tc>
        <w:tc>
          <w:tcPr>
            <w:tcW w:w="1773" w:type="dxa"/>
            <w:vAlign w:val="center"/>
          </w:tcPr>
          <w:p w14:paraId="095BAB0F" w14:textId="60DB9247" w:rsidR="00651808" w:rsidRDefault="00D73877" w:rsidP="00F30704">
            <w:pPr>
              <w:tabs>
                <w:tab w:val="decimal" w:pos="1596"/>
              </w:tabs>
              <w:spacing w:after="0" w:line="240" w:lineRule="auto"/>
              <w:jc w:val="both"/>
              <w:rPr>
                <w:rFonts w:cstheme="minorHAnsi"/>
                <w:sz w:val="16"/>
                <w:szCs w:val="16"/>
                <w:lang w:val="es-CR"/>
              </w:rPr>
            </w:pPr>
            <w:r>
              <w:rPr>
                <w:rFonts w:cstheme="minorHAnsi"/>
                <w:sz w:val="16"/>
                <w:szCs w:val="16"/>
                <w:lang w:val="es-CR"/>
              </w:rPr>
              <w:t>-</w:t>
            </w:r>
          </w:p>
        </w:tc>
        <w:tc>
          <w:tcPr>
            <w:tcW w:w="1557" w:type="dxa"/>
            <w:vAlign w:val="center"/>
          </w:tcPr>
          <w:p w14:paraId="1CBE14B3" w14:textId="70B0D743" w:rsidR="00651808" w:rsidRDefault="00651808" w:rsidP="00F30704">
            <w:pPr>
              <w:tabs>
                <w:tab w:val="decimal" w:pos="1596"/>
              </w:tabs>
              <w:spacing w:after="0" w:line="240" w:lineRule="auto"/>
              <w:jc w:val="both"/>
              <w:rPr>
                <w:rFonts w:cstheme="minorHAnsi"/>
                <w:sz w:val="16"/>
                <w:szCs w:val="16"/>
                <w:lang w:val="es-CR"/>
              </w:rPr>
            </w:pPr>
            <w:r w:rsidRPr="002A2110">
              <w:rPr>
                <w:rFonts w:cstheme="minorHAnsi"/>
                <w:sz w:val="16"/>
                <w:szCs w:val="16"/>
                <w:lang w:val="es-CR"/>
              </w:rPr>
              <w:t xml:space="preserve">         142,495,372 </w:t>
            </w:r>
          </w:p>
        </w:tc>
        <w:tc>
          <w:tcPr>
            <w:tcW w:w="1530" w:type="dxa"/>
            <w:vAlign w:val="center"/>
          </w:tcPr>
          <w:p w14:paraId="432CDDFC" w14:textId="4B3F12A9" w:rsidR="00651808" w:rsidRDefault="00651808" w:rsidP="000A05B8">
            <w:pPr>
              <w:tabs>
                <w:tab w:val="decimal" w:pos="1321"/>
              </w:tabs>
              <w:spacing w:after="0" w:line="240" w:lineRule="auto"/>
              <w:jc w:val="both"/>
              <w:rPr>
                <w:rFonts w:cstheme="minorHAnsi"/>
                <w:sz w:val="16"/>
                <w:szCs w:val="16"/>
                <w:lang w:val="es-CR"/>
              </w:rPr>
            </w:pPr>
            <w:r w:rsidRPr="002A2110">
              <w:rPr>
                <w:rFonts w:cstheme="minorHAnsi"/>
                <w:sz w:val="16"/>
                <w:szCs w:val="16"/>
                <w:lang w:val="es-CR"/>
              </w:rPr>
              <w:t xml:space="preserve">           118,777,122 </w:t>
            </w:r>
          </w:p>
        </w:tc>
      </w:tr>
      <w:tr w:rsidR="00651808" w:rsidRPr="001221DF" w14:paraId="1EA08E49" w14:textId="59B9DA32" w:rsidTr="000A05B8">
        <w:trPr>
          <w:cnfStyle w:val="000000010000" w:firstRow="0" w:lastRow="0" w:firstColumn="0" w:lastColumn="0" w:oddVBand="0" w:evenVBand="0" w:oddHBand="0" w:evenHBand="1" w:firstRowFirstColumn="0" w:firstRowLastColumn="0" w:lastRowFirstColumn="0" w:lastRowLastColumn="0"/>
          <w:trHeight w:val="423"/>
        </w:trPr>
        <w:tc>
          <w:tcPr>
            <w:tcW w:w="3096" w:type="dxa"/>
            <w:vAlign w:val="center"/>
          </w:tcPr>
          <w:p w14:paraId="5FCD711C" w14:textId="77777777" w:rsidR="00651808" w:rsidRPr="001221DF" w:rsidRDefault="00651808" w:rsidP="00651808">
            <w:pPr>
              <w:spacing w:after="0" w:line="240" w:lineRule="auto"/>
              <w:rPr>
                <w:rFonts w:cstheme="minorHAnsi"/>
                <w:sz w:val="16"/>
                <w:szCs w:val="16"/>
                <w:lang w:val="es-CR"/>
              </w:rPr>
            </w:pPr>
          </w:p>
        </w:tc>
        <w:tc>
          <w:tcPr>
            <w:tcW w:w="1701" w:type="dxa"/>
            <w:vAlign w:val="center"/>
          </w:tcPr>
          <w:p w14:paraId="2EDC4350" w14:textId="055FE6CF" w:rsidR="00651808" w:rsidRDefault="00651808" w:rsidP="00F30704">
            <w:pPr>
              <w:tabs>
                <w:tab w:val="decimal" w:pos="1596"/>
              </w:tabs>
              <w:spacing w:after="0" w:line="240" w:lineRule="auto"/>
              <w:jc w:val="both"/>
              <w:rPr>
                <w:rFonts w:cstheme="minorHAnsi"/>
                <w:b/>
                <w:sz w:val="16"/>
                <w:szCs w:val="16"/>
                <w:lang w:val="es-CR"/>
              </w:rPr>
            </w:pPr>
            <w:r w:rsidRPr="00D04C5E">
              <w:rPr>
                <w:rFonts w:cstheme="minorHAnsi"/>
                <w:b/>
                <w:bCs/>
                <w:sz w:val="16"/>
                <w:szCs w:val="16"/>
                <w:lang w:val="es-CR"/>
              </w:rPr>
              <w:t>RD$</w:t>
            </w:r>
          </w:p>
          <w:p w14:paraId="2E481CAA" w14:textId="04333215" w:rsidR="00702AA8" w:rsidRPr="001221DF" w:rsidRDefault="00702AA8" w:rsidP="00F30704">
            <w:pPr>
              <w:tabs>
                <w:tab w:val="decimal" w:pos="1596"/>
              </w:tabs>
              <w:spacing w:after="0" w:line="240" w:lineRule="auto"/>
              <w:jc w:val="both"/>
              <w:rPr>
                <w:rFonts w:cstheme="minorHAnsi"/>
                <w:b/>
                <w:sz w:val="16"/>
                <w:szCs w:val="16"/>
                <w:lang w:val="es-CR"/>
              </w:rPr>
            </w:pPr>
            <w:r>
              <w:rPr>
                <w:rFonts w:cstheme="minorHAnsi"/>
                <w:b/>
                <w:sz w:val="16"/>
                <w:szCs w:val="16"/>
                <w:lang w:val="es-CR"/>
              </w:rPr>
              <w:t>23,754,004,549</w:t>
            </w:r>
          </w:p>
        </w:tc>
        <w:tc>
          <w:tcPr>
            <w:tcW w:w="1773" w:type="dxa"/>
            <w:vAlign w:val="center"/>
          </w:tcPr>
          <w:p w14:paraId="33E0969C" w14:textId="4B265057" w:rsidR="0081147A" w:rsidRDefault="00651808" w:rsidP="00F30704">
            <w:pPr>
              <w:tabs>
                <w:tab w:val="decimal" w:pos="1596"/>
              </w:tabs>
              <w:spacing w:after="0" w:line="240" w:lineRule="auto"/>
              <w:jc w:val="both"/>
              <w:rPr>
                <w:rFonts w:cstheme="minorHAnsi"/>
                <w:b/>
                <w:sz w:val="16"/>
                <w:szCs w:val="16"/>
                <w:lang w:val="es-CR"/>
              </w:rPr>
            </w:pPr>
            <w:r w:rsidRPr="00976F45">
              <w:rPr>
                <w:rFonts w:cstheme="minorHAnsi"/>
                <w:b/>
                <w:bCs/>
                <w:sz w:val="16"/>
                <w:szCs w:val="16"/>
                <w:lang w:val="es-CR"/>
              </w:rPr>
              <w:t>RD$</w:t>
            </w:r>
          </w:p>
          <w:p w14:paraId="1F8078A1" w14:textId="40FB070D" w:rsidR="00702AA8" w:rsidRPr="001221DF" w:rsidRDefault="00702AA8" w:rsidP="00F30704">
            <w:pPr>
              <w:tabs>
                <w:tab w:val="decimal" w:pos="1596"/>
              </w:tabs>
              <w:spacing w:after="0" w:line="240" w:lineRule="auto"/>
              <w:jc w:val="both"/>
              <w:rPr>
                <w:rFonts w:cstheme="minorHAnsi"/>
                <w:b/>
                <w:sz w:val="16"/>
                <w:szCs w:val="16"/>
                <w:lang w:val="es-CR"/>
              </w:rPr>
            </w:pPr>
            <w:r>
              <w:rPr>
                <w:rFonts w:cstheme="minorHAnsi"/>
                <w:b/>
                <w:sz w:val="16"/>
                <w:szCs w:val="16"/>
                <w:lang w:val="es-CR"/>
              </w:rPr>
              <w:t>11,465,485,433</w:t>
            </w:r>
          </w:p>
        </w:tc>
        <w:tc>
          <w:tcPr>
            <w:tcW w:w="1557" w:type="dxa"/>
            <w:vAlign w:val="center"/>
          </w:tcPr>
          <w:p w14:paraId="7693061A" w14:textId="577A9E4C" w:rsidR="00651808" w:rsidRPr="00D04C5E" w:rsidRDefault="00651808" w:rsidP="00F30704">
            <w:pPr>
              <w:tabs>
                <w:tab w:val="decimal" w:pos="1596"/>
              </w:tabs>
              <w:spacing w:after="0" w:line="240" w:lineRule="auto"/>
              <w:jc w:val="both"/>
              <w:rPr>
                <w:rFonts w:cstheme="minorHAnsi"/>
                <w:b/>
                <w:bCs/>
                <w:sz w:val="16"/>
                <w:szCs w:val="16"/>
                <w:lang w:val="es-CR"/>
              </w:rPr>
            </w:pPr>
            <w:r w:rsidRPr="001221DF">
              <w:rPr>
                <w:rFonts w:cstheme="minorHAnsi"/>
                <w:b/>
                <w:bCs/>
                <w:sz w:val="16"/>
                <w:szCs w:val="16"/>
                <w:lang w:val="es-CR"/>
              </w:rPr>
              <w:t>RD$</w:t>
            </w:r>
            <w:r w:rsidR="00E46013">
              <w:rPr>
                <w:rFonts w:cstheme="minorHAnsi"/>
                <w:b/>
                <w:bCs/>
                <w:sz w:val="16"/>
                <w:szCs w:val="16"/>
                <w:lang w:val="es-CR"/>
              </w:rPr>
              <w:t>10,</w:t>
            </w:r>
            <w:r w:rsidR="0081147A">
              <w:rPr>
                <w:rFonts w:cstheme="minorHAnsi"/>
                <w:b/>
                <w:bCs/>
                <w:sz w:val="16"/>
                <w:szCs w:val="16"/>
                <w:lang w:val="es-CR"/>
              </w:rPr>
              <w:t>597,199,439</w:t>
            </w:r>
            <w:r w:rsidRPr="001221DF">
              <w:rPr>
                <w:rFonts w:cstheme="minorHAnsi"/>
                <w:b/>
                <w:bCs/>
                <w:sz w:val="16"/>
                <w:szCs w:val="16"/>
                <w:lang w:val="es-CR"/>
              </w:rPr>
              <w:t xml:space="preserve"> </w:t>
            </w:r>
          </w:p>
        </w:tc>
        <w:tc>
          <w:tcPr>
            <w:tcW w:w="1530" w:type="dxa"/>
            <w:vAlign w:val="center"/>
          </w:tcPr>
          <w:p w14:paraId="49F4886E" w14:textId="68F1F858" w:rsidR="00651808" w:rsidRPr="002A2110" w:rsidRDefault="00651808" w:rsidP="000A05B8">
            <w:pPr>
              <w:tabs>
                <w:tab w:val="decimal" w:pos="1321"/>
              </w:tabs>
              <w:spacing w:after="0" w:line="240" w:lineRule="auto"/>
              <w:jc w:val="both"/>
              <w:rPr>
                <w:rFonts w:cstheme="minorHAnsi"/>
                <w:sz w:val="16"/>
                <w:szCs w:val="16"/>
                <w:lang w:val="es-CR"/>
              </w:rPr>
            </w:pPr>
            <w:r w:rsidRPr="002A2110">
              <w:rPr>
                <w:rFonts w:cstheme="minorHAnsi"/>
                <w:b/>
                <w:bCs/>
                <w:sz w:val="16"/>
                <w:szCs w:val="16"/>
                <w:lang w:val="es-CR"/>
              </w:rPr>
              <w:t>RD$17,015,072,962</w:t>
            </w:r>
          </w:p>
        </w:tc>
      </w:tr>
    </w:tbl>
    <w:p w14:paraId="107F392D" w14:textId="77777777" w:rsidR="00E90F6E" w:rsidRPr="001221DF" w:rsidRDefault="00E90F6E" w:rsidP="00E90F6E">
      <w:pPr>
        <w:spacing w:after="0" w:line="240" w:lineRule="auto"/>
        <w:ind w:left="91"/>
        <w:rPr>
          <w:rFonts w:cstheme="minorHAnsi"/>
          <w:sz w:val="12"/>
          <w:lang w:val="es-CR"/>
        </w:rPr>
      </w:pPr>
    </w:p>
    <w:p w14:paraId="7BC11EBA" w14:textId="77777777" w:rsidR="00E90F6E" w:rsidRPr="001221DF" w:rsidRDefault="00E90F6E" w:rsidP="00E90F6E">
      <w:pPr>
        <w:spacing w:after="0" w:line="240" w:lineRule="auto"/>
        <w:ind w:left="91"/>
        <w:rPr>
          <w:rFonts w:cstheme="minorHAnsi"/>
          <w:sz w:val="12"/>
          <w:lang w:val="es-CR"/>
        </w:rPr>
      </w:pPr>
    </w:p>
    <w:p w14:paraId="3AC4CC4B" w14:textId="6EE94FA8" w:rsidR="00E90F6E" w:rsidRPr="001221DF" w:rsidRDefault="007970FD" w:rsidP="00E90F6E">
      <w:pPr>
        <w:spacing w:after="0" w:line="240" w:lineRule="auto"/>
        <w:ind w:left="91"/>
        <w:rPr>
          <w:rFonts w:cstheme="minorHAnsi"/>
          <w:sz w:val="12"/>
          <w:lang w:val="es-CR"/>
        </w:rPr>
      </w:pPr>
      <w:r>
        <w:rPr>
          <w:rFonts w:cstheme="minorHAnsi"/>
          <w:sz w:val="12"/>
          <w:lang w:val="es-CR"/>
        </w:rPr>
        <w:t xml:space="preserve">NC: Se envio carta de confirmacion de saldos a DOVEMCO, sin </w:t>
      </w:r>
      <w:r w:rsidR="00315E8A">
        <w:rPr>
          <w:rFonts w:cstheme="minorHAnsi"/>
          <w:sz w:val="12"/>
          <w:lang w:val="es-CR"/>
        </w:rPr>
        <w:t>embargo,</w:t>
      </w:r>
      <w:r>
        <w:rPr>
          <w:rFonts w:cstheme="minorHAnsi"/>
          <w:sz w:val="12"/>
          <w:lang w:val="es-CR"/>
        </w:rPr>
        <w:t xml:space="preserve"> no </w:t>
      </w:r>
      <w:r w:rsidR="00315E8A">
        <w:rPr>
          <w:rFonts w:cstheme="minorHAnsi"/>
          <w:sz w:val="12"/>
          <w:lang w:val="es-CR"/>
        </w:rPr>
        <w:t xml:space="preserve">obtuvimos respuesta a nuestra </w:t>
      </w:r>
      <w:r>
        <w:rPr>
          <w:rFonts w:cstheme="minorHAnsi"/>
          <w:sz w:val="12"/>
          <w:lang w:val="es-CR"/>
        </w:rPr>
        <w:t>solicitud</w:t>
      </w:r>
      <w:r w:rsidR="00315E8A">
        <w:rPr>
          <w:rFonts w:cstheme="minorHAnsi"/>
          <w:sz w:val="12"/>
          <w:lang w:val="es-CR"/>
        </w:rPr>
        <w:t xml:space="preserve"> de confirmacion</w:t>
      </w:r>
      <w:r>
        <w:rPr>
          <w:rFonts w:cstheme="minorHAnsi"/>
          <w:sz w:val="12"/>
          <w:lang w:val="es-CR"/>
        </w:rPr>
        <w:t>.</w:t>
      </w:r>
    </w:p>
    <w:sectPr w:rsidR="00E90F6E" w:rsidRPr="001221DF" w:rsidSect="00EC7A0E">
      <w:headerReference w:type="even" r:id="rId20"/>
      <w:headerReference w:type="default" r:id="rId21"/>
      <w:footerReference w:type="default" r:id="rId22"/>
      <w:headerReference w:type="first" r:id="rId23"/>
      <w:footerReference w:type="first" r:id="rId24"/>
      <w:pgSz w:w="12242" w:h="15842" w:code="1"/>
      <w:pgMar w:top="1080" w:right="2603" w:bottom="426" w:left="1080" w:header="1008" w:footer="432"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DB08" w14:textId="77777777" w:rsidR="00A825AC" w:rsidRDefault="00A825AC" w:rsidP="00C702C7">
      <w:pPr>
        <w:spacing w:after="0" w:line="240" w:lineRule="auto"/>
      </w:pPr>
      <w:r>
        <w:separator/>
      </w:r>
    </w:p>
  </w:endnote>
  <w:endnote w:type="continuationSeparator" w:id="0">
    <w:p w14:paraId="1BBC5FAC" w14:textId="77777777" w:rsidR="00A825AC" w:rsidRDefault="00A825AC"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Roman 10cpi">
    <w:panose1 w:val="00000000000000000000"/>
    <w:charset w:val="00"/>
    <w:family w:val="moder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FrutigerNextPro-Light">
    <w:altName w:val="DokChamp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9FFB" w14:textId="77777777" w:rsidR="00C67678" w:rsidRDefault="00C676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3804" w14:textId="77777777" w:rsidR="00C67678" w:rsidRPr="00904097" w:rsidRDefault="00C67678" w:rsidP="00904097">
    <w:pPr>
      <w:pStyle w:val="Piedepgina"/>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463A" w14:textId="77777777" w:rsidR="00C67678" w:rsidRDefault="00C6767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11543"/>
      <w:docPartObj>
        <w:docPartGallery w:val="Page Numbers (Bottom of Page)"/>
        <w:docPartUnique/>
      </w:docPartObj>
    </w:sdtPr>
    <w:sdtEndPr>
      <w:rPr>
        <w:noProof/>
      </w:rPr>
    </w:sdtEndPr>
    <w:sdtContent>
      <w:p w14:paraId="20984DBC" w14:textId="575C4881" w:rsidR="00C67678" w:rsidRDefault="00C67678">
        <w:pPr>
          <w:pStyle w:val="Piedepgina"/>
          <w:jc w:val="right"/>
        </w:pPr>
        <w:r>
          <w:fldChar w:fldCharType="begin"/>
        </w:r>
        <w:r>
          <w:instrText xml:space="preserve"> PAGE   \* MERGEFORMAT </w:instrText>
        </w:r>
        <w:r>
          <w:fldChar w:fldCharType="separate"/>
        </w:r>
        <w:r>
          <w:rPr>
            <w:noProof/>
          </w:rPr>
          <w:t>53</w:t>
        </w:r>
        <w:r>
          <w:rPr>
            <w:noProof/>
          </w:rPr>
          <w:fldChar w:fldCharType="end"/>
        </w:r>
      </w:p>
    </w:sdtContent>
  </w:sdt>
  <w:p w14:paraId="0DEAF805" w14:textId="45C57F24" w:rsidR="00C67678" w:rsidRPr="001A6735" w:rsidRDefault="00C67678" w:rsidP="00904097">
    <w:pPr>
      <w:pStyle w:val="Piedepgina"/>
      <w:spacing w:line="240" w:lineRule="auto"/>
      <w:rPr>
        <w:rFonts w:ascii="Verdana" w:hAnsi="Verdana"/>
        <w:szCs w:val="16"/>
      </w:rPr>
    </w:pPr>
    <w:r w:rsidRPr="001A6735">
      <w:rPr>
        <w:rFonts w:ascii="Verdana" w:hAnsi="Verdana"/>
        <w:szCs w:val="16"/>
      </w:rPr>
      <w:t>Informe de Cotejo EITI República Dominicana 2019-2020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40345"/>
      <w:docPartObj>
        <w:docPartGallery w:val="Page Numbers (Bottom of Page)"/>
        <w:docPartUnique/>
      </w:docPartObj>
    </w:sdtPr>
    <w:sdtEndPr>
      <w:rPr>
        <w:noProof/>
      </w:rPr>
    </w:sdtEndPr>
    <w:sdtContent>
      <w:p w14:paraId="5205C337" w14:textId="32706ECF" w:rsidR="00C67678" w:rsidRDefault="00C67678">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14:paraId="421F084C" w14:textId="77777777" w:rsidR="00C67678" w:rsidRDefault="00C676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0825" w14:textId="77777777" w:rsidR="00A825AC" w:rsidRDefault="00A825AC" w:rsidP="00C702C7">
      <w:pPr>
        <w:spacing w:after="0" w:line="240" w:lineRule="auto"/>
      </w:pPr>
      <w:r>
        <w:separator/>
      </w:r>
    </w:p>
  </w:footnote>
  <w:footnote w:type="continuationSeparator" w:id="0">
    <w:p w14:paraId="273C1FE2" w14:textId="77777777" w:rsidR="00A825AC" w:rsidRDefault="00A825AC"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AB92" w14:textId="77777777" w:rsidR="00C67678" w:rsidRDefault="00A825AC">
    <w:pPr>
      <w:pStyle w:val="Encabezado"/>
    </w:pPr>
    <w:r>
      <w:rPr>
        <w:noProof/>
      </w:rPr>
      <w:pict w14:anchorId="18CD6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376" o:spid="_x0000_s1032" type="#_x0000_t136" style="position:absolute;margin-left:0;margin-top:0;width:479.85pt;height:179.95pt;rotation:315;z-index:-2516439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66B1" w14:textId="77777777" w:rsidR="00C67678" w:rsidRDefault="00A825AC">
    <w:pPr>
      <w:pStyle w:val="Encabezado"/>
    </w:pPr>
    <w:r>
      <w:rPr>
        <w:noProof/>
      </w:rPr>
      <w:pict w14:anchorId="1BBD1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377" o:spid="_x0000_s1033" type="#_x0000_t136" style="position:absolute;margin-left:0;margin-top:0;width:479.85pt;height:179.95pt;rotation:315;z-index:-25164288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2C4B" w14:textId="77777777" w:rsidR="00C67678" w:rsidRDefault="00A825AC">
    <w:pPr>
      <w:pStyle w:val="Encabezado"/>
    </w:pPr>
    <w:r>
      <w:rPr>
        <w:noProof/>
      </w:rPr>
      <w:pict w14:anchorId="3FC59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375" o:spid="_x0000_s1031" type="#_x0000_t136" style="position:absolute;margin-left:0;margin-top:0;width:479.85pt;height:179.95pt;rotation:315;z-index:-2516449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1E1C" w14:textId="337FCBE5" w:rsidR="00C67678" w:rsidRDefault="00A825AC">
    <w:pPr>
      <w:pStyle w:val="Encabezado"/>
    </w:pPr>
    <w:r>
      <w:rPr>
        <w:noProof/>
      </w:rPr>
      <w:pict w14:anchorId="41F37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379" o:spid="_x0000_s1029" type="#_x0000_t136" style="position:absolute;margin-left:0;margin-top:0;width:479.85pt;height:179.9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2EC2" w14:textId="67B68B32" w:rsidR="00C67678" w:rsidRPr="00587E0A" w:rsidRDefault="00A825AC">
    <w:pPr>
      <w:pStyle w:val="Encabezado"/>
      <w:rPr>
        <w:lang w:val="es-419"/>
      </w:rPr>
    </w:pPr>
    <w:r>
      <w:rPr>
        <w:noProof/>
      </w:rPr>
      <w:pict w14:anchorId="50910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380" o:spid="_x0000_s1030" type="#_x0000_t136" style="position:absolute;margin-left:0;margin-top:0;width:479.85pt;height:179.9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6ABD" w14:textId="65E14916" w:rsidR="00C67678" w:rsidRPr="00F03388" w:rsidRDefault="00A825AC" w:rsidP="00F03388">
    <w:pPr>
      <w:pStyle w:val="Encabezado"/>
    </w:pPr>
    <w:r>
      <w:rPr>
        <w:noProof/>
      </w:rPr>
      <w:pict w14:anchorId="52000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4378" o:spid="_x0000_s1028" type="#_x0000_t136" style="position:absolute;margin-left:0;margin-top:0;width:479.85pt;height:179.9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05CE698"/>
    <w:lvl w:ilvl="0">
      <w:start w:val="1"/>
      <w:numFmt w:val="lowerLetter"/>
      <w:pStyle w:val="Listaconnmeros2"/>
      <w:lvlText w:val="%1."/>
      <w:lvlJc w:val="left"/>
      <w:pPr>
        <w:ind w:left="852" w:hanging="360"/>
      </w:pPr>
    </w:lvl>
  </w:abstractNum>
  <w:abstractNum w:abstractNumId="1" w15:restartNumberingAfterBreak="0">
    <w:nsid w:val="FFFFFF83"/>
    <w:multiLevelType w:val="singleLevel"/>
    <w:tmpl w:val="8EAA911C"/>
    <w:lvl w:ilvl="0">
      <w:start w:val="1"/>
      <w:numFmt w:val="bullet"/>
      <w:pStyle w:val="Listaconvietas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8C35FA"/>
    <w:multiLevelType w:val="hybridMultilevel"/>
    <w:tmpl w:val="0456B6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10252BC"/>
    <w:multiLevelType w:val="hybridMultilevel"/>
    <w:tmpl w:val="11F44436"/>
    <w:lvl w:ilvl="0" w:tplc="1AD49694">
      <w:numFmt w:val="bullet"/>
      <w:lvlText w:val="-"/>
      <w:lvlJc w:val="left"/>
      <w:pPr>
        <w:ind w:left="1170" w:hanging="360"/>
      </w:pPr>
      <w:rPr>
        <w:rFonts w:ascii="Calibri" w:eastAsiaTheme="minorHAnsi" w:hAnsi="Calibri" w:cstheme="minorBidi" w:hint="default"/>
      </w:rPr>
    </w:lvl>
    <w:lvl w:ilvl="1" w:tplc="1C0A0003" w:tentative="1">
      <w:start w:val="1"/>
      <w:numFmt w:val="bullet"/>
      <w:lvlText w:val="o"/>
      <w:lvlJc w:val="left"/>
      <w:pPr>
        <w:ind w:left="1890" w:hanging="360"/>
      </w:pPr>
      <w:rPr>
        <w:rFonts w:ascii="Courier New" w:hAnsi="Courier New" w:cs="Courier New" w:hint="default"/>
      </w:rPr>
    </w:lvl>
    <w:lvl w:ilvl="2" w:tplc="1C0A0005" w:tentative="1">
      <w:start w:val="1"/>
      <w:numFmt w:val="bullet"/>
      <w:lvlText w:val=""/>
      <w:lvlJc w:val="left"/>
      <w:pPr>
        <w:ind w:left="2610" w:hanging="360"/>
      </w:pPr>
      <w:rPr>
        <w:rFonts w:ascii="Wingdings" w:hAnsi="Wingdings" w:hint="default"/>
      </w:rPr>
    </w:lvl>
    <w:lvl w:ilvl="3" w:tplc="1C0A0001" w:tentative="1">
      <w:start w:val="1"/>
      <w:numFmt w:val="bullet"/>
      <w:lvlText w:val=""/>
      <w:lvlJc w:val="left"/>
      <w:pPr>
        <w:ind w:left="3330" w:hanging="360"/>
      </w:pPr>
      <w:rPr>
        <w:rFonts w:ascii="Symbol" w:hAnsi="Symbol" w:hint="default"/>
      </w:rPr>
    </w:lvl>
    <w:lvl w:ilvl="4" w:tplc="1C0A0003" w:tentative="1">
      <w:start w:val="1"/>
      <w:numFmt w:val="bullet"/>
      <w:lvlText w:val="o"/>
      <w:lvlJc w:val="left"/>
      <w:pPr>
        <w:ind w:left="4050" w:hanging="360"/>
      </w:pPr>
      <w:rPr>
        <w:rFonts w:ascii="Courier New" w:hAnsi="Courier New" w:cs="Courier New" w:hint="default"/>
      </w:rPr>
    </w:lvl>
    <w:lvl w:ilvl="5" w:tplc="1C0A0005" w:tentative="1">
      <w:start w:val="1"/>
      <w:numFmt w:val="bullet"/>
      <w:lvlText w:val=""/>
      <w:lvlJc w:val="left"/>
      <w:pPr>
        <w:ind w:left="4770" w:hanging="360"/>
      </w:pPr>
      <w:rPr>
        <w:rFonts w:ascii="Wingdings" w:hAnsi="Wingdings" w:hint="default"/>
      </w:rPr>
    </w:lvl>
    <w:lvl w:ilvl="6" w:tplc="1C0A0001" w:tentative="1">
      <w:start w:val="1"/>
      <w:numFmt w:val="bullet"/>
      <w:lvlText w:val=""/>
      <w:lvlJc w:val="left"/>
      <w:pPr>
        <w:ind w:left="5490" w:hanging="360"/>
      </w:pPr>
      <w:rPr>
        <w:rFonts w:ascii="Symbol" w:hAnsi="Symbol" w:hint="default"/>
      </w:rPr>
    </w:lvl>
    <w:lvl w:ilvl="7" w:tplc="1C0A0003" w:tentative="1">
      <w:start w:val="1"/>
      <w:numFmt w:val="bullet"/>
      <w:lvlText w:val="o"/>
      <w:lvlJc w:val="left"/>
      <w:pPr>
        <w:ind w:left="6210" w:hanging="360"/>
      </w:pPr>
      <w:rPr>
        <w:rFonts w:ascii="Courier New" w:hAnsi="Courier New" w:cs="Courier New" w:hint="default"/>
      </w:rPr>
    </w:lvl>
    <w:lvl w:ilvl="8" w:tplc="1C0A0005" w:tentative="1">
      <w:start w:val="1"/>
      <w:numFmt w:val="bullet"/>
      <w:lvlText w:val=""/>
      <w:lvlJc w:val="left"/>
      <w:pPr>
        <w:ind w:left="6930" w:hanging="360"/>
      </w:pPr>
      <w:rPr>
        <w:rFonts w:ascii="Wingdings" w:hAnsi="Wingdings" w:hint="default"/>
      </w:rPr>
    </w:lvl>
  </w:abstractNum>
  <w:abstractNum w:abstractNumId="6" w15:restartNumberingAfterBreak="0">
    <w:nsid w:val="013B5D99"/>
    <w:multiLevelType w:val="hybridMultilevel"/>
    <w:tmpl w:val="5F3A9E3A"/>
    <w:lvl w:ilvl="0" w:tplc="77208374">
      <w:start w:val="5"/>
      <w:numFmt w:val="bullet"/>
      <w:lvlText w:val="-"/>
      <w:lvlJc w:val="left"/>
      <w:pPr>
        <w:ind w:left="990" w:hanging="360"/>
      </w:pPr>
      <w:rPr>
        <w:rFonts w:ascii="Verdana" w:eastAsiaTheme="minorHAnsi" w:hAnsi="Verdana" w:cstheme="minorBidi" w:hint="default"/>
      </w:rPr>
    </w:lvl>
    <w:lvl w:ilvl="1" w:tplc="1C0A0003" w:tentative="1">
      <w:start w:val="1"/>
      <w:numFmt w:val="bullet"/>
      <w:lvlText w:val="o"/>
      <w:lvlJc w:val="left"/>
      <w:pPr>
        <w:ind w:left="1710" w:hanging="360"/>
      </w:pPr>
      <w:rPr>
        <w:rFonts w:ascii="Courier New" w:hAnsi="Courier New" w:cs="Courier New" w:hint="default"/>
      </w:rPr>
    </w:lvl>
    <w:lvl w:ilvl="2" w:tplc="1C0A0005" w:tentative="1">
      <w:start w:val="1"/>
      <w:numFmt w:val="bullet"/>
      <w:lvlText w:val=""/>
      <w:lvlJc w:val="left"/>
      <w:pPr>
        <w:ind w:left="2430" w:hanging="360"/>
      </w:pPr>
      <w:rPr>
        <w:rFonts w:ascii="Wingdings" w:hAnsi="Wingdings" w:hint="default"/>
      </w:rPr>
    </w:lvl>
    <w:lvl w:ilvl="3" w:tplc="1C0A0001" w:tentative="1">
      <w:start w:val="1"/>
      <w:numFmt w:val="bullet"/>
      <w:lvlText w:val=""/>
      <w:lvlJc w:val="left"/>
      <w:pPr>
        <w:ind w:left="3150" w:hanging="360"/>
      </w:pPr>
      <w:rPr>
        <w:rFonts w:ascii="Symbol" w:hAnsi="Symbol" w:hint="default"/>
      </w:rPr>
    </w:lvl>
    <w:lvl w:ilvl="4" w:tplc="1C0A0003" w:tentative="1">
      <w:start w:val="1"/>
      <w:numFmt w:val="bullet"/>
      <w:lvlText w:val="o"/>
      <w:lvlJc w:val="left"/>
      <w:pPr>
        <w:ind w:left="3870" w:hanging="360"/>
      </w:pPr>
      <w:rPr>
        <w:rFonts w:ascii="Courier New" w:hAnsi="Courier New" w:cs="Courier New" w:hint="default"/>
      </w:rPr>
    </w:lvl>
    <w:lvl w:ilvl="5" w:tplc="1C0A0005" w:tentative="1">
      <w:start w:val="1"/>
      <w:numFmt w:val="bullet"/>
      <w:lvlText w:val=""/>
      <w:lvlJc w:val="left"/>
      <w:pPr>
        <w:ind w:left="4590" w:hanging="360"/>
      </w:pPr>
      <w:rPr>
        <w:rFonts w:ascii="Wingdings" w:hAnsi="Wingdings" w:hint="default"/>
      </w:rPr>
    </w:lvl>
    <w:lvl w:ilvl="6" w:tplc="1C0A0001" w:tentative="1">
      <w:start w:val="1"/>
      <w:numFmt w:val="bullet"/>
      <w:lvlText w:val=""/>
      <w:lvlJc w:val="left"/>
      <w:pPr>
        <w:ind w:left="5310" w:hanging="360"/>
      </w:pPr>
      <w:rPr>
        <w:rFonts w:ascii="Symbol" w:hAnsi="Symbol" w:hint="default"/>
      </w:rPr>
    </w:lvl>
    <w:lvl w:ilvl="7" w:tplc="1C0A0003" w:tentative="1">
      <w:start w:val="1"/>
      <w:numFmt w:val="bullet"/>
      <w:lvlText w:val="o"/>
      <w:lvlJc w:val="left"/>
      <w:pPr>
        <w:ind w:left="6030" w:hanging="360"/>
      </w:pPr>
      <w:rPr>
        <w:rFonts w:ascii="Courier New" w:hAnsi="Courier New" w:cs="Courier New" w:hint="default"/>
      </w:rPr>
    </w:lvl>
    <w:lvl w:ilvl="8" w:tplc="1C0A0005" w:tentative="1">
      <w:start w:val="1"/>
      <w:numFmt w:val="bullet"/>
      <w:lvlText w:val=""/>
      <w:lvlJc w:val="left"/>
      <w:pPr>
        <w:ind w:left="6750" w:hanging="360"/>
      </w:pPr>
      <w:rPr>
        <w:rFonts w:ascii="Wingdings" w:hAnsi="Wingdings" w:hint="default"/>
      </w:rPr>
    </w:lvl>
  </w:abstractNum>
  <w:abstractNum w:abstractNumId="7" w15:restartNumberingAfterBreak="0">
    <w:nsid w:val="059C569D"/>
    <w:multiLevelType w:val="hybridMultilevel"/>
    <w:tmpl w:val="83802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41DD0"/>
    <w:multiLevelType w:val="hybridMultilevel"/>
    <w:tmpl w:val="BAEEB70A"/>
    <w:lvl w:ilvl="0" w:tplc="1F0A20FE">
      <w:start w:val="1"/>
      <w:numFmt w:val="decimal"/>
      <w:lvlText w:val="%1."/>
      <w:lvlJc w:val="left"/>
      <w:pPr>
        <w:ind w:left="45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D0646BB"/>
    <w:multiLevelType w:val="hybridMultilevel"/>
    <w:tmpl w:val="83A2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D2460"/>
    <w:multiLevelType w:val="hybridMultilevel"/>
    <w:tmpl w:val="4476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02634"/>
    <w:multiLevelType w:val="hybridMultilevel"/>
    <w:tmpl w:val="8460EA48"/>
    <w:lvl w:ilvl="0" w:tplc="72EC3CF6">
      <w:start w:val="1"/>
      <w:numFmt w:val="lowerLetter"/>
      <w:pStyle w:val="5TabletextDBlonW"/>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205CCF"/>
    <w:multiLevelType w:val="hybridMultilevel"/>
    <w:tmpl w:val="5B7056F2"/>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123B15EF"/>
    <w:multiLevelType w:val="hybridMultilevel"/>
    <w:tmpl w:val="5D54BA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12A44D26"/>
    <w:multiLevelType w:val="hybridMultilevel"/>
    <w:tmpl w:val="1C4845B0"/>
    <w:lvl w:ilvl="0" w:tplc="CA186F26">
      <w:start w:val="1"/>
      <w:numFmt w:val="lowerLetter"/>
      <w:lvlText w:val="(%1)"/>
      <w:lvlJc w:val="left"/>
      <w:pPr>
        <w:ind w:left="119" w:hanging="425"/>
      </w:pPr>
      <w:rPr>
        <w:rFonts w:ascii="Verdana" w:eastAsia="Arial" w:hAnsi="Verdana" w:hint="default"/>
        <w:w w:val="99"/>
        <w:sz w:val="18"/>
        <w:szCs w:val="18"/>
      </w:rPr>
    </w:lvl>
    <w:lvl w:ilvl="1" w:tplc="68B0C502">
      <w:start w:val="1"/>
      <w:numFmt w:val="bullet"/>
      <w:lvlText w:val="•"/>
      <w:lvlJc w:val="left"/>
      <w:pPr>
        <w:ind w:left="1015" w:hanging="425"/>
      </w:pPr>
      <w:rPr>
        <w:rFonts w:hint="default"/>
      </w:rPr>
    </w:lvl>
    <w:lvl w:ilvl="2" w:tplc="7A8A9110">
      <w:start w:val="1"/>
      <w:numFmt w:val="bullet"/>
      <w:lvlText w:val="•"/>
      <w:lvlJc w:val="left"/>
      <w:pPr>
        <w:ind w:left="1912" w:hanging="425"/>
      </w:pPr>
      <w:rPr>
        <w:rFonts w:hint="default"/>
      </w:rPr>
    </w:lvl>
    <w:lvl w:ilvl="3" w:tplc="984037B8">
      <w:start w:val="1"/>
      <w:numFmt w:val="bullet"/>
      <w:lvlText w:val="•"/>
      <w:lvlJc w:val="left"/>
      <w:pPr>
        <w:ind w:left="2808" w:hanging="425"/>
      </w:pPr>
      <w:rPr>
        <w:rFonts w:hint="default"/>
      </w:rPr>
    </w:lvl>
    <w:lvl w:ilvl="4" w:tplc="06DED7F8">
      <w:start w:val="1"/>
      <w:numFmt w:val="bullet"/>
      <w:lvlText w:val="•"/>
      <w:lvlJc w:val="left"/>
      <w:pPr>
        <w:ind w:left="3705" w:hanging="425"/>
      </w:pPr>
      <w:rPr>
        <w:rFonts w:hint="default"/>
      </w:rPr>
    </w:lvl>
    <w:lvl w:ilvl="5" w:tplc="DEE6B00A">
      <w:start w:val="1"/>
      <w:numFmt w:val="bullet"/>
      <w:lvlText w:val="•"/>
      <w:lvlJc w:val="left"/>
      <w:pPr>
        <w:ind w:left="4601" w:hanging="425"/>
      </w:pPr>
      <w:rPr>
        <w:rFonts w:hint="default"/>
      </w:rPr>
    </w:lvl>
    <w:lvl w:ilvl="6" w:tplc="DFD690C4">
      <w:start w:val="1"/>
      <w:numFmt w:val="bullet"/>
      <w:lvlText w:val="•"/>
      <w:lvlJc w:val="left"/>
      <w:pPr>
        <w:ind w:left="5498" w:hanging="425"/>
      </w:pPr>
      <w:rPr>
        <w:rFonts w:hint="default"/>
      </w:rPr>
    </w:lvl>
    <w:lvl w:ilvl="7" w:tplc="23A827C4">
      <w:start w:val="1"/>
      <w:numFmt w:val="bullet"/>
      <w:lvlText w:val="•"/>
      <w:lvlJc w:val="left"/>
      <w:pPr>
        <w:ind w:left="6394" w:hanging="425"/>
      </w:pPr>
      <w:rPr>
        <w:rFonts w:hint="default"/>
      </w:rPr>
    </w:lvl>
    <w:lvl w:ilvl="8" w:tplc="F134163C">
      <w:start w:val="1"/>
      <w:numFmt w:val="bullet"/>
      <w:lvlText w:val="•"/>
      <w:lvlJc w:val="left"/>
      <w:pPr>
        <w:ind w:left="7291" w:hanging="425"/>
      </w:pPr>
      <w:rPr>
        <w:rFonts w:hint="default"/>
      </w:rPr>
    </w:lvl>
  </w:abstractNum>
  <w:abstractNum w:abstractNumId="15" w15:restartNumberingAfterBreak="0">
    <w:nsid w:val="13A54E3D"/>
    <w:multiLevelType w:val="hybridMultilevel"/>
    <w:tmpl w:val="6C00B7E0"/>
    <w:lvl w:ilvl="0" w:tplc="E4FA0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70D37"/>
    <w:multiLevelType w:val="hybridMultilevel"/>
    <w:tmpl w:val="73C02780"/>
    <w:lvl w:ilvl="0" w:tplc="1C0A0001">
      <w:start w:val="1"/>
      <w:numFmt w:val="bullet"/>
      <w:lvlText w:val=""/>
      <w:lvlJc w:val="left"/>
      <w:pPr>
        <w:ind w:left="990" w:hanging="360"/>
      </w:pPr>
      <w:rPr>
        <w:rFonts w:ascii="Symbol" w:hAnsi="Symbol" w:hint="default"/>
      </w:rPr>
    </w:lvl>
    <w:lvl w:ilvl="1" w:tplc="1C0A0003" w:tentative="1">
      <w:start w:val="1"/>
      <w:numFmt w:val="bullet"/>
      <w:lvlText w:val="o"/>
      <w:lvlJc w:val="left"/>
      <w:pPr>
        <w:ind w:left="1710" w:hanging="360"/>
      </w:pPr>
      <w:rPr>
        <w:rFonts w:ascii="Courier New" w:hAnsi="Courier New" w:cs="Courier New" w:hint="default"/>
      </w:rPr>
    </w:lvl>
    <w:lvl w:ilvl="2" w:tplc="1C0A0005" w:tentative="1">
      <w:start w:val="1"/>
      <w:numFmt w:val="bullet"/>
      <w:lvlText w:val=""/>
      <w:lvlJc w:val="left"/>
      <w:pPr>
        <w:ind w:left="2430" w:hanging="360"/>
      </w:pPr>
      <w:rPr>
        <w:rFonts w:ascii="Wingdings" w:hAnsi="Wingdings" w:hint="default"/>
      </w:rPr>
    </w:lvl>
    <w:lvl w:ilvl="3" w:tplc="1C0A0001" w:tentative="1">
      <w:start w:val="1"/>
      <w:numFmt w:val="bullet"/>
      <w:lvlText w:val=""/>
      <w:lvlJc w:val="left"/>
      <w:pPr>
        <w:ind w:left="3150" w:hanging="360"/>
      </w:pPr>
      <w:rPr>
        <w:rFonts w:ascii="Symbol" w:hAnsi="Symbol" w:hint="default"/>
      </w:rPr>
    </w:lvl>
    <w:lvl w:ilvl="4" w:tplc="1C0A0003" w:tentative="1">
      <w:start w:val="1"/>
      <w:numFmt w:val="bullet"/>
      <w:lvlText w:val="o"/>
      <w:lvlJc w:val="left"/>
      <w:pPr>
        <w:ind w:left="3870" w:hanging="360"/>
      </w:pPr>
      <w:rPr>
        <w:rFonts w:ascii="Courier New" w:hAnsi="Courier New" w:cs="Courier New" w:hint="default"/>
      </w:rPr>
    </w:lvl>
    <w:lvl w:ilvl="5" w:tplc="1C0A0005" w:tentative="1">
      <w:start w:val="1"/>
      <w:numFmt w:val="bullet"/>
      <w:lvlText w:val=""/>
      <w:lvlJc w:val="left"/>
      <w:pPr>
        <w:ind w:left="4590" w:hanging="360"/>
      </w:pPr>
      <w:rPr>
        <w:rFonts w:ascii="Wingdings" w:hAnsi="Wingdings" w:hint="default"/>
      </w:rPr>
    </w:lvl>
    <w:lvl w:ilvl="6" w:tplc="1C0A0001" w:tentative="1">
      <w:start w:val="1"/>
      <w:numFmt w:val="bullet"/>
      <w:lvlText w:val=""/>
      <w:lvlJc w:val="left"/>
      <w:pPr>
        <w:ind w:left="5310" w:hanging="360"/>
      </w:pPr>
      <w:rPr>
        <w:rFonts w:ascii="Symbol" w:hAnsi="Symbol" w:hint="default"/>
      </w:rPr>
    </w:lvl>
    <w:lvl w:ilvl="7" w:tplc="1C0A0003" w:tentative="1">
      <w:start w:val="1"/>
      <w:numFmt w:val="bullet"/>
      <w:lvlText w:val="o"/>
      <w:lvlJc w:val="left"/>
      <w:pPr>
        <w:ind w:left="6030" w:hanging="360"/>
      </w:pPr>
      <w:rPr>
        <w:rFonts w:ascii="Courier New" w:hAnsi="Courier New" w:cs="Courier New" w:hint="default"/>
      </w:rPr>
    </w:lvl>
    <w:lvl w:ilvl="8" w:tplc="1C0A0005" w:tentative="1">
      <w:start w:val="1"/>
      <w:numFmt w:val="bullet"/>
      <w:lvlText w:val=""/>
      <w:lvlJc w:val="left"/>
      <w:pPr>
        <w:ind w:left="6750" w:hanging="360"/>
      </w:pPr>
      <w:rPr>
        <w:rFonts w:ascii="Wingdings" w:hAnsi="Wingdings" w:hint="default"/>
      </w:rPr>
    </w:lvl>
  </w:abstractNum>
  <w:abstractNum w:abstractNumId="17" w15:restartNumberingAfterBreak="0">
    <w:nsid w:val="1C617EF5"/>
    <w:multiLevelType w:val="hybridMultilevel"/>
    <w:tmpl w:val="53B23262"/>
    <w:lvl w:ilvl="0" w:tplc="613A52F0">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F0400"/>
    <w:multiLevelType w:val="hybridMultilevel"/>
    <w:tmpl w:val="6A302E90"/>
    <w:lvl w:ilvl="0" w:tplc="1C0A0001">
      <w:start w:val="1"/>
      <w:numFmt w:val="bullet"/>
      <w:lvlText w:val=""/>
      <w:lvlJc w:val="left"/>
      <w:pPr>
        <w:ind w:left="502" w:hanging="360"/>
      </w:pPr>
      <w:rPr>
        <w:rFonts w:ascii="Symbol" w:hAnsi="Symbol" w:hint="default"/>
      </w:rPr>
    </w:lvl>
    <w:lvl w:ilvl="1" w:tplc="1C0A0003">
      <w:start w:val="1"/>
      <w:numFmt w:val="bullet"/>
      <w:lvlText w:val="o"/>
      <w:lvlJc w:val="left"/>
      <w:pPr>
        <w:ind w:left="1222" w:hanging="360"/>
      </w:pPr>
      <w:rPr>
        <w:rFonts w:ascii="Courier New" w:hAnsi="Courier New" w:cs="Courier New" w:hint="default"/>
      </w:rPr>
    </w:lvl>
    <w:lvl w:ilvl="2" w:tplc="1C0A0005" w:tentative="1">
      <w:start w:val="1"/>
      <w:numFmt w:val="bullet"/>
      <w:lvlText w:val=""/>
      <w:lvlJc w:val="left"/>
      <w:pPr>
        <w:ind w:left="1942" w:hanging="360"/>
      </w:pPr>
      <w:rPr>
        <w:rFonts w:ascii="Wingdings" w:hAnsi="Wingdings" w:hint="default"/>
      </w:rPr>
    </w:lvl>
    <w:lvl w:ilvl="3" w:tplc="1C0A0001" w:tentative="1">
      <w:start w:val="1"/>
      <w:numFmt w:val="bullet"/>
      <w:lvlText w:val=""/>
      <w:lvlJc w:val="left"/>
      <w:pPr>
        <w:ind w:left="2662" w:hanging="360"/>
      </w:pPr>
      <w:rPr>
        <w:rFonts w:ascii="Symbol" w:hAnsi="Symbol" w:hint="default"/>
      </w:rPr>
    </w:lvl>
    <w:lvl w:ilvl="4" w:tplc="1C0A0003" w:tentative="1">
      <w:start w:val="1"/>
      <w:numFmt w:val="bullet"/>
      <w:lvlText w:val="o"/>
      <w:lvlJc w:val="left"/>
      <w:pPr>
        <w:ind w:left="3382" w:hanging="360"/>
      </w:pPr>
      <w:rPr>
        <w:rFonts w:ascii="Courier New" w:hAnsi="Courier New" w:cs="Courier New" w:hint="default"/>
      </w:rPr>
    </w:lvl>
    <w:lvl w:ilvl="5" w:tplc="1C0A0005" w:tentative="1">
      <w:start w:val="1"/>
      <w:numFmt w:val="bullet"/>
      <w:lvlText w:val=""/>
      <w:lvlJc w:val="left"/>
      <w:pPr>
        <w:ind w:left="4102" w:hanging="360"/>
      </w:pPr>
      <w:rPr>
        <w:rFonts w:ascii="Wingdings" w:hAnsi="Wingdings" w:hint="default"/>
      </w:rPr>
    </w:lvl>
    <w:lvl w:ilvl="6" w:tplc="1C0A0001" w:tentative="1">
      <w:start w:val="1"/>
      <w:numFmt w:val="bullet"/>
      <w:lvlText w:val=""/>
      <w:lvlJc w:val="left"/>
      <w:pPr>
        <w:ind w:left="4822" w:hanging="360"/>
      </w:pPr>
      <w:rPr>
        <w:rFonts w:ascii="Symbol" w:hAnsi="Symbol" w:hint="default"/>
      </w:rPr>
    </w:lvl>
    <w:lvl w:ilvl="7" w:tplc="1C0A0003" w:tentative="1">
      <w:start w:val="1"/>
      <w:numFmt w:val="bullet"/>
      <w:lvlText w:val="o"/>
      <w:lvlJc w:val="left"/>
      <w:pPr>
        <w:ind w:left="5542" w:hanging="360"/>
      </w:pPr>
      <w:rPr>
        <w:rFonts w:ascii="Courier New" w:hAnsi="Courier New" w:cs="Courier New" w:hint="default"/>
      </w:rPr>
    </w:lvl>
    <w:lvl w:ilvl="8" w:tplc="1C0A0005" w:tentative="1">
      <w:start w:val="1"/>
      <w:numFmt w:val="bullet"/>
      <w:lvlText w:val=""/>
      <w:lvlJc w:val="left"/>
      <w:pPr>
        <w:ind w:left="6262" w:hanging="360"/>
      </w:pPr>
      <w:rPr>
        <w:rFonts w:ascii="Wingdings" w:hAnsi="Wingdings" w:hint="default"/>
      </w:rPr>
    </w:lvl>
  </w:abstractNum>
  <w:abstractNum w:abstractNumId="19" w15:restartNumberingAfterBreak="0">
    <w:nsid w:val="203726EF"/>
    <w:multiLevelType w:val="hybridMultilevel"/>
    <w:tmpl w:val="DE94770C"/>
    <w:lvl w:ilvl="0" w:tplc="04090001">
      <w:start w:val="1"/>
      <w:numFmt w:val="bullet"/>
      <w:lvlText w:val=""/>
      <w:lvlJc w:val="left"/>
      <w:pPr>
        <w:ind w:left="990" w:hanging="360"/>
      </w:pPr>
      <w:rPr>
        <w:rFonts w:ascii="Symbol" w:hAnsi="Symbol" w:hint="default"/>
      </w:rPr>
    </w:lvl>
    <w:lvl w:ilvl="1" w:tplc="1C0A0003" w:tentative="1">
      <w:start w:val="1"/>
      <w:numFmt w:val="bullet"/>
      <w:lvlText w:val="o"/>
      <w:lvlJc w:val="left"/>
      <w:pPr>
        <w:ind w:left="1710" w:hanging="360"/>
      </w:pPr>
      <w:rPr>
        <w:rFonts w:ascii="Courier New" w:hAnsi="Courier New" w:cs="Courier New" w:hint="default"/>
      </w:rPr>
    </w:lvl>
    <w:lvl w:ilvl="2" w:tplc="1C0A0005" w:tentative="1">
      <w:start w:val="1"/>
      <w:numFmt w:val="bullet"/>
      <w:lvlText w:val=""/>
      <w:lvlJc w:val="left"/>
      <w:pPr>
        <w:ind w:left="2430" w:hanging="360"/>
      </w:pPr>
      <w:rPr>
        <w:rFonts w:ascii="Wingdings" w:hAnsi="Wingdings" w:hint="default"/>
      </w:rPr>
    </w:lvl>
    <w:lvl w:ilvl="3" w:tplc="1C0A0001" w:tentative="1">
      <w:start w:val="1"/>
      <w:numFmt w:val="bullet"/>
      <w:lvlText w:val=""/>
      <w:lvlJc w:val="left"/>
      <w:pPr>
        <w:ind w:left="3150" w:hanging="360"/>
      </w:pPr>
      <w:rPr>
        <w:rFonts w:ascii="Symbol" w:hAnsi="Symbol" w:hint="default"/>
      </w:rPr>
    </w:lvl>
    <w:lvl w:ilvl="4" w:tplc="1C0A0003" w:tentative="1">
      <w:start w:val="1"/>
      <w:numFmt w:val="bullet"/>
      <w:lvlText w:val="o"/>
      <w:lvlJc w:val="left"/>
      <w:pPr>
        <w:ind w:left="3870" w:hanging="360"/>
      </w:pPr>
      <w:rPr>
        <w:rFonts w:ascii="Courier New" w:hAnsi="Courier New" w:cs="Courier New" w:hint="default"/>
      </w:rPr>
    </w:lvl>
    <w:lvl w:ilvl="5" w:tplc="1C0A0005" w:tentative="1">
      <w:start w:val="1"/>
      <w:numFmt w:val="bullet"/>
      <w:lvlText w:val=""/>
      <w:lvlJc w:val="left"/>
      <w:pPr>
        <w:ind w:left="4590" w:hanging="360"/>
      </w:pPr>
      <w:rPr>
        <w:rFonts w:ascii="Wingdings" w:hAnsi="Wingdings" w:hint="default"/>
      </w:rPr>
    </w:lvl>
    <w:lvl w:ilvl="6" w:tplc="1C0A0001" w:tentative="1">
      <w:start w:val="1"/>
      <w:numFmt w:val="bullet"/>
      <w:lvlText w:val=""/>
      <w:lvlJc w:val="left"/>
      <w:pPr>
        <w:ind w:left="5310" w:hanging="360"/>
      </w:pPr>
      <w:rPr>
        <w:rFonts w:ascii="Symbol" w:hAnsi="Symbol" w:hint="default"/>
      </w:rPr>
    </w:lvl>
    <w:lvl w:ilvl="7" w:tplc="1C0A0003" w:tentative="1">
      <w:start w:val="1"/>
      <w:numFmt w:val="bullet"/>
      <w:lvlText w:val="o"/>
      <w:lvlJc w:val="left"/>
      <w:pPr>
        <w:ind w:left="6030" w:hanging="360"/>
      </w:pPr>
      <w:rPr>
        <w:rFonts w:ascii="Courier New" w:hAnsi="Courier New" w:cs="Courier New" w:hint="default"/>
      </w:rPr>
    </w:lvl>
    <w:lvl w:ilvl="8" w:tplc="1C0A0005" w:tentative="1">
      <w:start w:val="1"/>
      <w:numFmt w:val="bullet"/>
      <w:lvlText w:val=""/>
      <w:lvlJc w:val="left"/>
      <w:pPr>
        <w:ind w:left="6750" w:hanging="360"/>
      </w:pPr>
      <w:rPr>
        <w:rFonts w:ascii="Wingdings" w:hAnsi="Wingdings" w:hint="default"/>
      </w:rPr>
    </w:lvl>
  </w:abstractNum>
  <w:abstractNum w:abstractNumId="20" w15:restartNumberingAfterBreak="0">
    <w:nsid w:val="20E80D51"/>
    <w:multiLevelType w:val="hybridMultilevel"/>
    <w:tmpl w:val="38E2B9CC"/>
    <w:lvl w:ilvl="0" w:tplc="F03A8EA2">
      <w:start w:val="1"/>
      <w:numFmt w:val="bullet"/>
      <w:pStyle w:val="BulletedTableText"/>
      <w:lvlText w:val=""/>
      <w:lvlJc w:val="left"/>
      <w:pPr>
        <w:ind w:left="72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74E71"/>
    <w:multiLevelType w:val="hybridMultilevel"/>
    <w:tmpl w:val="3142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53097"/>
    <w:multiLevelType w:val="hybridMultilevel"/>
    <w:tmpl w:val="969AFB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2B9F302D"/>
    <w:multiLevelType w:val="hybridMultilevel"/>
    <w:tmpl w:val="30E8C530"/>
    <w:lvl w:ilvl="0" w:tplc="8424E4E2">
      <w:start w:val="1"/>
      <w:numFmt w:val="bullet"/>
      <w:pStyle w:val="BulletedText1"/>
      <w:lvlText w:val=""/>
      <w:lvlJc w:val="left"/>
      <w:pPr>
        <w:ind w:left="36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83E7E"/>
    <w:multiLevelType w:val="hybridMultilevel"/>
    <w:tmpl w:val="41D88338"/>
    <w:lvl w:ilvl="0" w:tplc="6006443C">
      <w:start w:val="1"/>
      <w:numFmt w:val="decimal"/>
      <w:lvlText w:val="%1."/>
      <w:lvlJc w:val="left"/>
      <w:pPr>
        <w:tabs>
          <w:tab w:val="num" w:pos="720"/>
        </w:tabs>
        <w:ind w:left="720" w:hanging="360"/>
      </w:pPr>
    </w:lvl>
    <w:lvl w:ilvl="1" w:tplc="3378051A" w:tentative="1">
      <w:start w:val="1"/>
      <w:numFmt w:val="decimal"/>
      <w:lvlText w:val="%2."/>
      <w:lvlJc w:val="left"/>
      <w:pPr>
        <w:tabs>
          <w:tab w:val="num" w:pos="1440"/>
        </w:tabs>
        <w:ind w:left="1440" w:hanging="360"/>
      </w:pPr>
    </w:lvl>
    <w:lvl w:ilvl="2" w:tplc="10528F18" w:tentative="1">
      <w:start w:val="1"/>
      <w:numFmt w:val="decimal"/>
      <w:lvlText w:val="%3."/>
      <w:lvlJc w:val="left"/>
      <w:pPr>
        <w:tabs>
          <w:tab w:val="num" w:pos="2160"/>
        </w:tabs>
        <w:ind w:left="2160" w:hanging="360"/>
      </w:pPr>
    </w:lvl>
    <w:lvl w:ilvl="3" w:tplc="FA16AB26" w:tentative="1">
      <w:start w:val="1"/>
      <w:numFmt w:val="decimal"/>
      <w:lvlText w:val="%4."/>
      <w:lvlJc w:val="left"/>
      <w:pPr>
        <w:tabs>
          <w:tab w:val="num" w:pos="2880"/>
        </w:tabs>
        <w:ind w:left="2880" w:hanging="360"/>
      </w:pPr>
    </w:lvl>
    <w:lvl w:ilvl="4" w:tplc="4E00BBDE" w:tentative="1">
      <w:start w:val="1"/>
      <w:numFmt w:val="decimal"/>
      <w:lvlText w:val="%5."/>
      <w:lvlJc w:val="left"/>
      <w:pPr>
        <w:tabs>
          <w:tab w:val="num" w:pos="3600"/>
        </w:tabs>
        <w:ind w:left="3600" w:hanging="360"/>
      </w:pPr>
    </w:lvl>
    <w:lvl w:ilvl="5" w:tplc="DB5AB0CA" w:tentative="1">
      <w:start w:val="1"/>
      <w:numFmt w:val="decimal"/>
      <w:lvlText w:val="%6."/>
      <w:lvlJc w:val="left"/>
      <w:pPr>
        <w:tabs>
          <w:tab w:val="num" w:pos="4320"/>
        </w:tabs>
        <w:ind w:left="4320" w:hanging="360"/>
      </w:pPr>
    </w:lvl>
    <w:lvl w:ilvl="6" w:tplc="EB721572" w:tentative="1">
      <w:start w:val="1"/>
      <w:numFmt w:val="decimal"/>
      <w:lvlText w:val="%7."/>
      <w:lvlJc w:val="left"/>
      <w:pPr>
        <w:tabs>
          <w:tab w:val="num" w:pos="5040"/>
        </w:tabs>
        <w:ind w:left="5040" w:hanging="360"/>
      </w:pPr>
    </w:lvl>
    <w:lvl w:ilvl="7" w:tplc="F67EDAD4" w:tentative="1">
      <w:start w:val="1"/>
      <w:numFmt w:val="decimal"/>
      <w:lvlText w:val="%8."/>
      <w:lvlJc w:val="left"/>
      <w:pPr>
        <w:tabs>
          <w:tab w:val="num" w:pos="5760"/>
        </w:tabs>
        <w:ind w:left="5760" w:hanging="360"/>
      </w:pPr>
    </w:lvl>
    <w:lvl w:ilvl="8" w:tplc="B30A293A" w:tentative="1">
      <w:start w:val="1"/>
      <w:numFmt w:val="decimal"/>
      <w:lvlText w:val="%9."/>
      <w:lvlJc w:val="left"/>
      <w:pPr>
        <w:tabs>
          <w:tab w:val="num" w:pos="6480"/>
        </w:tabs>
        <w:ind w:left="6480" w:hanging="360"/>
      </w:pPr>
    </w:lvl>
  </w:abstractNum>
  <w:abstractNum w:abstractNumId="25" w15:restartNumberingAfterBreak="0">
    <w:nsid w:val="2D641D4A"/>
    <w:multiLevelType w:val="hybridMultilevel"/>
    <w:tmpl w:val="9EB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FC2825"/>
    <w:multiLevelType w:val="hybridMultilevel"/>
    <w:tmpl w:val="780E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4286A"/>
    <w:multiLevelType w:val="hybridMultilevel"/>
    <w:tmpl w:val="24E8524C"/>
    <w:lvl w:ilvl="0" w:tplc="8C8AECE8">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8" w15:restartNumberingAfterBreak="0">
    <w:nsid w:val="3AE40324"/>
    <w:multiLevelType w:val="hybridMultilevel"/>
    <w:tmpl w:val="732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E01D9"/>
    <w:multiLevelType w:val="hybridMultilevel"/>
    <w:tmpl w:val="CA024E82"/>
    <w:lvl w:ilvl="0" w:tplc="3AFAEC72">
      <w:start w:val="1"/>
      <w:numFmt w:val="bullet"/>
      <w:pStyle w:val="BulletedTex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D6CEB"/>
    <w:multiLevelType w:val="hybridMultilevel"/>
    <w:tmpl w:val="605C3350"/>
    <w:lvl w:ilvl="0" w:tplc="1AE08CBC">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661639"/>
    <w:multiLevelType w:val="hybridMultilevel"/>
    <w:tmpl w:val="7E805AEE"/>
    <w:lvl w:ilvl="0" w:tplc="1C0A0001">
      <w:start w:val="1"/>
      <w:numFmt w:val="bullet"/>
      <w:lvlText w:val=""/>
      <w:lvlJc w:val="left"/>
      <w:pPr>
        <w:ind w:left="1716" w:hanging="360"/>
      </w:pPr>
      <w:rPr>
        <w:rFonts w:ascii="Symbol" w:hAnsi="Symbol" w:hint="default"/>
      </w:rPr>
    </w:lvl>
    <w:lvl w:ilvl="1" w:tplc="1C0A0003" w:tentative="1">
      <w:start w:val="1"/>
      <w:numFmt w:val="bullet"/>
      <w:lvlText w:val="o"/>
      <w:lvlJc w:val="left"/>
      <w:pPr>
        <w:ind w:left="2436" w:hanging="360"/>
      </w:pPr>
      <w:rPr>
        <w:rFonts w:ascii="Courier New" w:hAnsi="Courier New" w:cs="Courier New" w:hint="default"/>
      </w:rPr>
    </w:lvl>
    <w:lvl w:ilvl="2" w:tplc="1C0A0005" w:tentative="1">
      <w:start w:val="1"/>
      <w:numFmt w:val="bullet"/>
      <w:lvlText w:val=""/>
      <w:lvlJc w:val="left"/>
      <w:pPr>
        <w:ind w:left="3156" w:hanging="360"/>
      </w:pPr>
      <w:rPr>
        <w:rFonts w:ascii="Wingdings" w:hAnsi="Wingdings" w:hint="default"/>
      </w:rPr>
    </w:lvl>
    <w:lvl w:ilvl="3" w:tplc="1C0A0001" w:tentative="1">
      <w:start w:val="1"/>
      <w:numFmt w:val="bullet"/>
      <w:lvlText w:val=""/>
      <w:lvlJc w:val="left"/>
      <w:pPr>
        <w:ind w:left="3876" w:hanging="360"/>
      </w:pPr>
      <w:rPr>
        <w:rFonts w:ascii="Symbol" w:hAnsi="Symbol" w:hint="default"/>
      </w:rPr>
    </w:lvl>
    <w:lvl w:ilvl="4" w:tplc="1C0A0003" w:tentative="1">
      <w:start w:val="1"/>
      <w:numFmt w:val="bullet"/>
      <w:lvlText w:val="o"/>
      <w:lvlJc w:val="left"/>
      <w:pPr>
        <w:ind w:left="4596" w:hanging="360"/>
      </w:pPr>
      <w:rPr>
        <w:rFonts w:ascii="Courier New" w:hAnsi="Courier New" w:cs="Courier New" w:hint="default"/>
      </w:rPr>
    </w:lvl>
    <w:lvl w:ilvl="5" w:tplc="1C0A0005" w:tentative="1">
      <w:start w:val="1"/>
      <w:numFmt w:val="bullet"/>
      <w:lvlText w:val=""/>
      <w:lvlJc w:val="left"/>
      <w:pPr>
        <w:ind w:left="5316" w:hanging="360"/>
      </w:pPr>
      <w:rPr>
        <w:rFonts w:ascii="Wingdings" w:hAnsi="Wingdings" w:hint="default"/>
      </w:rPr>
    </w:lvl>
    <w:lvl w:ilvl="6" w:tplc="1C0A0001" w:tentative="1">
      <w:start w:val="1"/>
      <w:numFmt w:val="bullet"/>
      <w:lvlText w:val=""/>
      <w:lvlJc w:val="left"/>
      <w:pPr>
        <w:ind w:left="6036" w:hanging="360"/>
      </w:pPr>
      <w:rPr>
        <w:rFonts w:ascii="Symbol" w:hAnsi="Symbol" w:hint="default"/>
      </w:rPr>
    </w:lvl>
    <w:lvl w:ilvl="7" w:tplc="1C0A0003" w:tentative="1">
      <w:start w:val="1"/>
      <w:numFmt w:val="bullet"/>
      <w:lvlText w:val="o"/>
      <w:lvlJc w:val="left"/>
      <w:pPr>
        <w:ind w:left="6756" w:hanging="360"/>
      </w:pPr>
      <w:rPr>
        <w:rFonts w:ascii="Courier New" w:hAnsi="Courier New" w:cs="Courier New" w:hint="default"/>
      </w:rPr>
    </w:lvl>
    <w:lvl w:ilvl="8" w:tplc="1C0A0005" w:tentative="1">
      <w:start w:val="1"/>
      <w:numFmt w:val="bullet"/>
      <w:lvlText w:val=""/>
      <w:lvlJc w:val="left"/>
      <w:pPr>
        <w:ind w:left="7476" w:hanging="360"/>
      </w:pPr>
      <w:rPr>
        <w:rFonts w:ascii="Wingdings" w:hAnsi="Wingdings" w:hint="default"/>
      </w:rPr>
    </w:lvl>
  </w:abstractNum>
  <w:abstractNum w:abstractNumId="32" w15:restartNumberingAfterBreak="0">
    <w:nsid w:val="4D4356AD"/>
    <w:multiLevelType w:val="hybridMultilevel"/>
    <w:tmpl w:val="F74A61D2"/>
    <w:lvl w:ilvl="0" w:tplc="16A417E0">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82D91"/>
    <w:multiLevelType w:val="multilevel"/>
    <w:tmpl w:val="9B848150"/>
    <w:lvl w:ilvl="0">
      <w:start w:val="4"/>
      <w:numFmt w:val="decimal"/>
      <w:lvlText w:val="%1"/>
      <w:lvlJc w:val="left"/>
      <w:pPr>
        <w:ind w:left="920" w:hanging="920"/>
      </w:pPr>
      <w:rPr>
        <w:rFonts w:hint="default"/>
      </w:rPr>
    </w:lvl>
    <w:lvl w:ilvl="1">
      <w:start w:val="1"/>
      <w:numFmt w:val="decimal"/>
      <w:lvlText w:val="%1.%2"/>
      <w:lvlJc w:val="left"/>
      <w:pPr>
        <w:ind w:left="1800" w:hanging="1440"/>
      </w:pPr>
      <w:rPr>
        <w:rFonts w:hint="default"/>
      </w:rPr>
    </w:lvl>
    <w:lvl w:ilvl="2">
      <w:start w:val="1"/>
      <w:numFmt w:val="decimal"/>
      <w:lvlText w:val="%1.%2.%3"/>
      <w:lvlJc w:val="left"/>
      <w:pPr>
        <w:ind w:left="2520" w:hanging="1800"/>
      </w:pPr>
      <w:rPr>
        <w:rFonts w:hint="default"/>
      </w:rPr>
    </w:lvl>
    <w:lvl w:ilvl="3">
      <w:start w:val="1"/>
      <w:numFmt w:val="decimal"/>
      <w:lvlText w:val="%1.%2.%3.%4"/>
      <w:lvlJc w:val="left"/>
      <w:pPr>
        <w:ind w:left="3600" w:hanging="2520"/>
      </w:pPr>
      <w:rPr>
        <w:rFonts w:hint="default"/>
      </w:rPr>
    </w:lvl>
    <w:lvl w:ilvl="4">
      <w:start w:val="1"/>
      <w:numFmt w:val="decimal"/>
      <w:lvlText w:val="%1.%2.%3.%4.%5"/>
      <w:lvlJc w:val="left"/>
      <w:pPr>
        <w:ind w:left="4680" w:hanging="3240"/>
      </w:pPr>
      <w:rPr>
        <w:rFonts w:hint="default"/>
      </w:rPr>
    </w:lvl>
    <w:lvl w:ilvl="5">
      <w:start w:val="1"/>
      <w:numFmt w:val="decimal"/>
      <w:lvlText w:val="%1.%2.%3.%4.%5.%6"/>
      <w:lvlJc w:val="left"/>
      <w:pPr>
        <w:ind w:left="5760" w:hanging="3960"/>
      </w:pPr>
      <w:rPr>
        <w:rFonts w:hint="default"/>
      </w:rPr>
    </w:lvl>
    <w:lvl w:ilvl="6">
      <w:start w:val="1"/>
      <w:numFmt w:val="decimal"/>
      <w:lvlText w:val="%1.%2.%3.%4.%5.%6.%7"/>
      <w:lvlJc w:val="left"/>
      <w:pPr>
        <w:ind w:left="6840" w:hanging="4680"/>
      </w:pPr>
      <w:rPr>
        <w:rFonts w:hint="default"/>
      </w:rPr>
    </w:lvl>
    <w:lvl w:ilvl="7">
      <w:start w:val="1"/>
      <w:numFmt w:val="decimal"/>
      <w:lvlText w:val="%1.%2.%3.%4.%5.%6.%7.%8"/>
      <w:lvlJc w:val="left"/>
      <w:pPr>
        <w:ind w:left="7920" w:hanging="5400"/>
      </w:pPr>
      <w:rPr>
        <w:rFonts w:hint="default"/>
      </w:rPr>
    </w:lvl>
    <w:lvl w:ilvl="8">
      <w:start w:val="1"/>
      <w:numFmt w:val="decimal"/>
      <w:lvlText w:val="%1.%2.%3.%4.%5.%6.%7.%8.%9"/>
      <w:lvlJc w:val="left"/>
      <w:pPr>
        <w:ind w:left="8640" w:hanging="5760"/>
      </w:pPr>
      <w:rPr>
        <w:rFonts w:hint="default"/>
      </w:rPr>
    </w:lvl>
  </w:abstractNum>
  <w:abstractNum w:abstractNumId="34" w15:restartNumberingAfterBreak="0">
    <w:nsid w:val="51C11F03"/>
    <w:multiLevelType w:val="hybridMultilevel"/>
    <w:tmpl w:val="F3F0BD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5" w15:restartNumberingAfterBreak="0">
    <w:nsid w:val="549D529E"/>
    <w:multiLevelType w:val="hybridMultilevel"/>
    <w:tmpl w:val="CB8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E2ABE"/>
    <w:multiLevelType w:val="hybridMultilevel"/>
    <w:tmpl w:val="EC307BB0"/>
    <w:lvl w:ilvl="0" w:tplc="4E5692DC">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5B285BE8"/>
    <w:multiLevelType w:val="hybridMultilevel"/>
    <w:tmpl w:val="A29A7C2C"/>
    <w:lvl w:ilvl="0" w:tplc="AD620192">
      <w:start w:val="1"/>
      <w:numFmt w:val="bullet"/>
      <w:pStyle w:val="SidebarBulletText1"/>
      <w:lvlText w:val=""/>
      <w:lvlJc w:val="left"/>
      <w:pPr>
        <w:ind w:left="360" w:hanging="360"/>
      </w:pPr>
      <w:rPr>
        <w:rFonts w:ascii="Wingdings" w:hAnsi="Wingdings" w:hint="default"/>
        <w:color w:val="FFFFFF" w:themeColor="background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31963"/>
    <w:multiLevelType w:val="hybridMultilevel"/>
    <w:tmpl w:val="37D67658"/>
    <w:lvl w:ilvl="0" w:tplc="4E569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675F1"/>
    <w:multiLevelType w:val="hybridMultilevel"/>
    <w:tmpl w:val="FCE4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875253"/>
    <w:multiLevelType w:val="hybridMultilevel"/>
    <w:tmpl w:val="FFD08474"/>
    <w:lvl w:ilvl="0" w:tplc="FB3A8F72">
      <w:start w:val="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65F4B"/>
    <w:multiLevelType w:val="multilevel"/>
    <w:tmpl w:val="0BA4E184"/>
    <w:lvl w:ilvl="0">
      <w:start w:val="3"/>
      <w:numFmt w:val="decimal"/>
      <w:lvlText w:val="%1"/>
      <w:lvlJc w:val="left"/>
      <w:pPr>
        <w:ind w:left="924" w:hanging="924"/>
      </w:pPr>
      <w:rPr>
        <w:rFonts w:hint="default"/>
      </w:rPr>
    </w:lvl>
    <w:lvl w:ilvl="1">
      <w:start w:val="3"/>
      <w:numFmt w:val="decimal"/>
      <w:lvlText w:val="%1.%2"/>
      <w:lvlJc w:val="left"/>
      <w:pPr>
        <w:ind w:left="1440" w:hanging="144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5760" w:hanging="5760"/>
      </w:pPr>
      <w:rPr>
        <w:rFonts w:hint="default"/>
      </w:rPr>
    </w:lvl>
  </w:abstractNum>
  <w:abstractNum w:abstractNumId="42" w15:restartNumberingAfterBreak="0">
    <w:nsid w:val="712C7D00"/>
    <w:multiLevelType w:val="hybridMultilevel"/>
    <w:tmpl w:val="6CBA8A7C"/>
    <w:lvl w:ilvl="0" w:tplc="8C8AECE8">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6F4533C"/>
    <w:multiLevelType w:val="hybridMultilevel"/>
    <w:tmpl w:val="8B5EF9B8"/>
    <w:lvl w:ilvl="0" w:tplc="CE88D1F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D26F9"/>
    <w:multiLevelType w:val="hybridMultilevel"/>
    <w:tmpl w:val="2BFCD53E"/>
    <w:lvl w:ilvl="0" w:tplc="653AC4D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75A50"/>
    <w:multiLevelType w:val="hybridMultilevel"/>
    <w:tmpl w:val="0DFA9288"/>
    <w:lvl w:ilvl="0" w:tplc="FB3A8F72">
      <w:start w:val="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3"/>
  </w:num>
  <w:num w:numId="6">
    <w:abstractNumId w:val="30"/>
  </w:num>
  <w:num w:numId="7">
    <w:abstractNumId w:val="23"/>
  </w:num>
  <w:num w:numId="8">
    <w:abstractNumId w:val="37"/>
  </w:num>
  <w:num w:numId="9">
    <w:abstractNumId w:val="20"/>
  </w:num>
  <w:num w:numId="10">
    <w:abstractNumId w:val="29"/>
  </w:num>
  <w:num w:numId="11">
    <w:abstractNumId w:val="11"/>
  </w:num>
  <w:num w:numId="12">
    <w:abstractNumId w:val="10"/>
  </w:num>
  <w:num w:numId="13">
    <w:abstractNumId w:val="45"/>
  </w:num>
  <w:num w:numId="14">
    <w:abstractNumId w:val="40"/>
  </w:num>
  <w:num w:numId="15">
    <w:abstractNumId w:val="16"/>
  </w:num>
  <w:num w:numId="16">
    <w:abstractNumId w:val="25"/>
  </w:num>
  <w:num w:numId="17">
    <w:abstractNumId w:val="7"/>
  </w:num>
  <w:num w:numId="18">
    <w:abstractNumId w:val="34"/>
  </w:num>
  <w:num w:numId="19">
    <w:abstractNumId w:val="26"/>
  </w:num>
  <w:num w:numId="20">
    <w:abstractNumId w:val="19"/>
  </w:num>
  <w:num w:numId="21">
    <w:abstractNumId w:val="15"/>
  </w:num>
  <w:num w:numId="22">
    <w:abstractNumId w:val="27"/>
  </w:num>
  <w:num w:numId="23">
    <w:abstractNumId w:val="28"/>
  </w:num>
  <w:num w:numId="24">
    <w:abstractNumId w:val="39"/>
  </w:num>
  <w:num w:numId="25">
    <w:abstractNumId w:val="33"/>
  </w:num>
  <w:num w:numId="26">
    <w:abstractNumId w:val="21"/>
  </w:num>
  <w:num w:numId="27">
    <w:abstractNumId w:val="8"/>
  </w:num>
  <w:num w:numId="28">
    <w:abstractNumId w:val="32"/>
  </w:num>
  <w:num w:numId="29">
    <w:abstractNumId w:val="42"/>
  </w:num>
  <w:num w:numId="30">
    <w:abstractNumId w:val="22"/>
  </w:num>
  <w:num w:numId="31">
    <w:abstractNumId w:val="4"/>
  </w:num>
  <w:num w:numId="32">
    <w:abstractNumId w:val="18"/>
  </w:num>
  <w:num w:numId="33">
    <w:abstractNumId w:val="6"/>
  </w:num>
  <w:num w:numId="34">
    <w:abstractNumId w:val="31"/>
  </w:num>
  <w:num w:numId="35">
    <w:abstractNumId w:val="36"/>
  </w:num>
  <w:num w:numId="36">
    <w:abstractNumId w:val="35"/>
  </w:num>
  <w:num w:numId="37">
    <w:abstractNumId w:val="38"/>
  </w:num>
  <w:num w:numId="38">
    <w:abstractNumId w:val="41"/>
  </w:num>
  <w:num w:numId="39">
    <w:abstractNumId w:val="44"/>
  </w:num>
  <w:num w:numId="40">
    <w:abstractNumId w:val="5"/>
  </w:num>
  <w:num w:numId="41">
    <w:abstractNumId w:val="9"/>
  </w:num>
  <w:num w:numId="42">
    <w:abstractNumId w:val="13"/>
  </w:num>
  <w:num w:numId="43">
    <w:abstractNumId w:val="12"/>
  </w:num>
  <w:num w:numId="44">
    <w:abstractNumId w:val="17"/>
  </w:num>
  <w:num w:numId="45">
    <w:abstractNumId w:val="14"/>
  </w:num>
  <w:num w:numId="46">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SortMethod w:val="00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72"/>
    <w:rsid w:val="000005FE"/>
    <w:rsid w:val="000014EE"/>
    <w:rsid w:val="00001AAB"/>
    <w:rsid w:val="00002BFB"/>
    <w:rsid w:val="00003643"/>
    <w:rsid w:val="00003E4E"/>
    <w:rsid w:val="000070D2"/>
    <w:rsid w:val="00007AF4"/>
    <w:rsid w:val="00007C07"/>
    <w:rsid w:val="000107E1"/>
    <w:rsid w:val="00010C50"/>
    <w:rsid w:val="00012D6C"/>
    <w:rsid w:val="000131A3"/>
    <w:rsid w:val="00014B89"/>
    <w:rsid w:val="00015108"/>
    <w:rsid w:val="00015F83"/>
    <w:rsid w:val="00016950"/>
    <w:rsid w:val="000174D2"/>
    <w:rsid w:val="00020D44"/>
    <w:rsid w:val="00021760"/>
    <w:rsid w:val="00021A39"/>
    <w:rsid w:val="00021DDF"/>
    <w:rsid w:val="000224A8"/>
    <w:rsid w:val="00022730"/>
    <w:rsid w:val="00022F93"/>
    <w:rsid w:val="0002350D"/>
    <w:rsid w:val="00024AA1"/>
    <w:rsid w:val="00024B72"/>
    <w:rsid w:val="00024ECB"/>
    <w:rsid w:val="00025E7D"/>
    <w:rsid w:val="000269A4"/>
    <w:rsid w:val="000275D3"/>
    <w:rsid w:val="000279D7"/>
    <w:rsid w:val="00030146"/>
    <w:rsid w:val="000328D8"/>
    <w:rsid w:val="00033227"/>
    <w:rsid w:val="000335A2"/>
    <w:rsid w:val="000356C5"/>
    <w:rsid w:val="0003595E"/>
    <w:rsid w:val="00035ACE"/>
    <w:rsid w:val="00035DBA"/>
    <w:rsid w:val="000365C0"/>
    <w:rsid w:val="00036EF3"/>
    <w:rsid w:val="00037C17"/>
    <w:rsid w:val="00040B79"/>
    <w:rsid w:val="0004117A"/>
    <w:rsid w:val="0004141C"/>
    <w:rsid w:val="00041C96"/>
    <w:rsid w:val="00041DB4"/>
    <w:rsid w:val="00042674"/>
    <w:rsid w:val="000429AC"/>
    <w:rsid w:val="00042B6A"/>
    <w:rsid w:val="00042B99"/>
    <w:rsid w:val="00043C30"/>
    <w:rsid w:val="00045EA2"/>
    <w:rsid w:val="00047624"/>
    <w:rsid w:val="000516C4"/>
    <w:rsid w:val="00051941"/>
    <w:rsid w:val="00052D43"/>
    <w:rsid w:val="000539B4"/>
    <w:rsid w:val="0005505A"/>
    <w:rsid w:val="000556C4"/>
    <w:rsid w:val="0005641D"/>
    <w:rsid w:val="00056D74"/>
    <w:rsid w:val="00057BC3"/>
    <w:rsid w:val="00060CFB"/>
    <w:rsid w:val="00060DD1"/>
    <w:rsid w:val="00061B6D"/>
    <w:rsid w:val="00061C21"/>
    <w:rsid w:val="00061E81"/>
    <w:rsid w:val="00062CF9"/>
    <w:rsid w:val="000635FC"/>
    <w:rsid w:val="0006370B"/>
    <w:rsid w:val="000637A6"/>
    <w:rsid w:val="000647A3"/>
    <w:rsid w:val="0006532D"/>
    <w:rsid w:val="00065CD5"/>
    <w:rsid w:val="00066154"/>
    <w:rsid w:val="00066760"/>
    <w:rsid w:val="00066BBA"/>
    <w:rsid w:val="000670FA"/>
    <w:rsid w:val="00067243"/>
    <w:rsid w:val="00071509"/>
    <w:rsid w:val="000717D8"/>
    <w:rsid w:val="0007217E"/>
    <w:rsid w:val="00080F3A"/>
    <w:rsid w:val="0008327D"/>
    <w:rsid w:val="00083D95"/>
    <w:rsid w:val="00083DD5"/>
    <w:rsid w:val="0008486D"/>
    <w:rsid w:val="00084F8A"/>
    <w:rsid w:val="000850C5"/>
    <w:rsid w:val="000854FB"/>
    <w:rsid w:val="00085AB5"/>
    <w:rsid w:val="00085ABC"/>
    <w:rsid w:val="00086949"/>
    <w:rsid w:val="00086D3E"/>
    <w:rsid w:val="00090567"/>
    <w:rsid w:val="00090A05"/>
    <w:rsid w:val="000910C3"/>
    <w:rsid w:val="00091247"/>
    <w:rsid w:val="00091670"/>
    <w:rsid w:val="000929B7"/>
    <w:rsid w:val="00093580"/>
    <w:rsid w:val="00093DBA"/>
    <w:rsid w:val="00094C4B"/>
    <w:rsid w:val="000950D6"/>
    <w:rsid w:val="0009566A"/>
    <w:rsid w:val="00095B84"/>
    <w:rsid w:val="00095C4A"/>
    <w:rsid w:val="000963A9"/>
    <w:rsid w:val="00096FCB"/>
    <w:rsid w:val="0009771C"/>
    <w:rsid w:val="00097E47"/>
    <w:rsid w:val="000A006C"/>
    <w:rsid w:val="000A00A1"/>
    <w:rsid w:val="000A0444"/>
    <w:rsid w:val="000A05B8"/>
    <w:rsid w:val="000A08EF"/>
    <w:rsid w:val="000A1254"/>
    <w:rsid w:val="000A19FC"/>
    <w:rsid w:val="000A23F5"/>
    <w:rsid w:val="000A3B61"/>
    <w:rsid w:val="000A4AF1"/>
    <w:rsid w:val="000A549A"/>
    <w:rsid w:val="000A57B8"/>
    <w:rsid w:val="000B0DB5"/>
    <w:rsid w:val="000B35FE"/>
    <w:rsid w:val="000B3678"/>
    <w:rsid w:val="000B532D"/>
    <w:rsid w:val="000B5BD3"/>
    <w:rsid w:val="000B6C05"/>
    <w:rsid w:val="000B6EBC"/>
    <w:rsid w:val="000B711F"/>
    <w:rsid w:val="000C013C"/>
    <w:rsid w:val="000C02CA"/>
    <w:rsid w:val="000C0B46"/>
    <w:rsid w:val="000C1314"/>
    <w:rsid w:val="000C182F"/>
    <w:rsid w:val="000C1A5C"/>
    <w:rsid w:val="000C1DF1"/>
    <w:rsid w:val="000C20BD"/>
    <w:rsid w:val="000C2574"/>
    <w:rsid w:val="000C2B24"/>
    <w:rsid w:val="000C3339"/>
    <w:rsid w:val="000C3B22"/>
    <w:rsid w:val="000C3D8E"/>
    <w:rsid w:val="000C4295"/>
    <w:rsid w:val="000C5506"/>
    <w:rsid w:val="000C5EA5"/>
    <w:rsid w:val="000C696E"/>
    <w:rsid w:val="000C713C"/>
    <w:rsid w:val="000D265D"/>
    <w:rsid w:val="000D2DE0"/>
    <w:rsid w:val="000D4C69"/>
    <w:rsid w:val="000D5A61"/>
    <w:rsid w:val="000E03CA"/>
    <w:rsid w:val="000E03D0"/>
    <w:rsid w:val="000E07E6"/>
    <w:rsid w:val="000E0D3B"/>
    <w:rsid w:val="000E11E7"/>
    <w:rsid w:val="000E14C5"/>
    <w:rsid w:val="000E1EBA"/>
    <w:rsid w:val="000E2C94"/>
    <w:rsid w:val="000E38F9"/>
    <w:rsid w:val="000E400C"/>
    <w:rsid w:val="000E4AA4"/>
    <w:rsid w:val="000E70BA"/>
    <w:rsid w:val="000E7A1B"/>
    <w:rsid w:val="000E7E78"/>
    <w:rsid w:val="000F00C8"/>
    <w:rsid w:val="000F066B"/>
    <w:rsid w:val="000F1CBD"/>
    <w:rsid w:val="000F2DDF"/>
    <w:rsid w:val="000F3DF8"/>
    <w:rsid w:val="000F414A"/>
    <w:rsid w:val="000F4AA1"/>
    <w:rsid w:val="000F53E2"/>
    <w:rsid w:val="000F58CA"/>
    <w:rsid w:val="000F5C22"/>
    <w:rsid w:val="000F6053"/>
    <w:rsid w:val="000F764A"/>
    <w:rsid w:val="0010113D"/>
    <w:rsid w:val="00101963"/>
    <w:rsid w:val="0010338E"/>
    <w:rsid w:val="001036BB"/>
    <w:rsid w:val="0010462B"/>
    <w:rsid w:val="00104A2F"/>
    <w:rsid w:val="001066DD"/>
    <w:rsid w:val="001069C8"/>
    <w:rsid w:val="00106CD5"/>
    <w:rsid w:val="001070B9"/>
    <w:rsid w:val="00107ECD"/>
    <w:rsid w:val="00110A25"/>
    <w:rsid w:val="00111F6F"/>
    <w:rsid w:val="00112010"/>
    <w:rsid w:val="00112390"/>
    <w:rsid w:val="001127E1"/>
    <w:rsid w:val="00112EC0"/>
    <w:rsid w:val="00113ABA"/>
    <w:rsid w:val="00113C8E"/>
    <w:rsid w:val="00113E9A"/>
    <w:rsid w:val="0011474E"/>
    <w:rsid w:val="00115096"/>
    <w:rsid w:val="0011538D"/>
    <w:rsid w:val="001156B6"/>
    <w:rsid w:val="00115AB6"/>
    <w:rsid w:val="001166B5"/>
    <w:rsid w:val="00116C6C"/>
    <w:rsid w:val="00117A09"/>
    <w:rsid w:val="001202F6"/>
    <w:rsid w:val="00120A15"/>
    <w:rsid w:val="00120E41"/>
    <w:rsid w:val="001214B4"/>
    <w:rsid w:val="001221DF"/>
    <w:rsid w:val="00122CE1"/>
    <w:rsid w:val="00122EFB"/>
    <w:rsid w:val="00123AD3"/>
    <w:rsid w:val="00123D5F"/>
    <w:rsid w:val="00124CE8"/>
    <w:rsid w:val="00124ECA"/>
    <w:rsid w:val="0012532C"/>
    <w:rsid w:val="001265CF"/>
    <w:rsid w:val="001267CA"/>
    <w:rsid w:val="001274E3"/>
    <w:rsid w:val="001278AA"/>
    <w:rsid w:val="00130191"/>
    <w:rsid w:val="001302BA"/>
    <w:rsid w:val="00132257"/>
    <w:rsid w:val="00134947"/>
    <w:rsid w:val="0013505C"/>
    <w:rsid w:val="0013565D"/>
    <w:rsid w:val="00135D28"/>
    <w:rsid w:val="001360D8"/>
    <w:rsid w:val="00136542"/>
    <w:rsid w:val="001367AD"/>
    <w:rsid w:val="001367DE"/>
    <w:rsid w:val="00136CA2"/>
    <w:rsid w:val="00140297"/>
    <w:rsid w:val="001418E0"/>
    <w:rsid w:val="00141D74"/>
    <w:rsid w:val="001429FE"/>
    <w:rsid w:val="00143B0C"/>
    <w:rsid w:val="0014405B"/>
    <w:rsid w:val="00144FD3"/>
    <w:rsid w:val="001457BC"/>
    <w:rsid w:val="00146DA8"/>
    <w:rsid w:val="0014701E"/>
    <w:rsid w:val="001479BB"/>
    <w:rsid w:val="001502F4"/>
    <w:rsid w:val="00150323"/>
    <w:rsid w:val="001507D8"/>
    <w:rsid w:val="00152AE1"/>
    <w:rsid w:val="00152C2E"/>
    <w:rsid w:val="00154808"/>
    <w:rsid w:val="001561ED"/>
    <w:rsid w:val="001562EE"/>
    <w:rsid w:val="001568E3"/>
    <w:rsid w:val="00156C87"/>
    <w:rsid w:val="0015725E"/>
    <w:rsid w:val="00157BD7"/>
    <w:rsid w:val="00162560"/>
    <w:rsid w:val="00162719"/>
    <w:rsid w:val="00162B4B"/>
    <w:rsid w:val="001636B2"/>
    <w:rsid w:val="00164558"/>
    <w:rsid w:val="00164F29"/>
    <w:rsid w:val="001708B9"/>
    <w:rsid w:val="0017280D"/>
    <w:rsid w:val="001733ED"/>
    <w:rsid w:val="00173E51"/>
    <w:rsid w:val="00174CE4"/>
    <w:rsid w:val="001757CE"/>
    <w:rsid w:val="00175A2A"/>
    <w:rsid w:val="00176871"/>
    <w:rsid w:val="0018005C"/>
    <w:rsid w:val="00180BDA"/>
    <w:rsid w:val="0018108F"/>
    <w:rsid w:val="00181659"/>
    <w:rsid w:val="00182107"/>
    <w:rsid w:val="001826EC"/>
    <w:rsid w:val="00184361"/>
    <w:rsid w:val="001843E5"/>
    <w:rsid w:val="00184B3E"/>
    <w:rsid w:val="00184EA6"/>
    <w:rsid w:val="00185C56"/>
    <w:rsid w:val="001869F8"/>
    <w:rsid w:val="00186B19"/>
    <w:rsid w:val="00186E13"/>
    <w:rsid w:val="00186F65"/>
    <w:rsid w:val="00186FC8"/>
    <w:rsid w:val="00191391"/>
    <w:rsid w:val="00191EA1"/>
    <w:rsid w:val="00192BD4"/>
    <w:rsid w:val="00192C96"/>
    <w:rsid w:val="00194AA9"/>
    <w:rsid w:val="00195B25"/>
    <w:rsid w:val="00195E67"/>
    <w:rsid w:val="0019602F"/>
    <w:rsid w:val="001966E9"/>
    <w:rsid w:val="00196A80"/>
    <w:rsid w:val="00197348"/>
    <w:rsid w:val="001975EF"/>
    <w:rsid w:val="0019765A"/>
    <w:rsid w:val="001A054D"/>
    <w:rsid w:val="001A334A"/>
    <w:rsid w:val="001A359C"/>
    <w:rsid w:val="001A36B4"/>
    <w:rsid w:val="001A3F25"/>
    <w:rsid w:val="001A45A9"/>
    <w:rsid w:val="001A45CF"/>
    <w:rsid w:val="001A605E"/>
    <w:rsid w:val="001A634B"/>
    <w:rsid w:val="001A6573"/>
    <w:rsid w:val="001A6735"/>
    <w:rsid w:val="001A6D72"/>
    <w:rsid w:val="001A7C5E"/>
    <w:rsid w:val="001B0C58"/>
    <w:rsid w:val="001B0F94"/>
    <w:rsid w:val="001B14C8"/>
    <w:rsid w:val="001B33CC"/>
    <w:rsid w:val="001B435B"/>
    <w:rsid w:val="001B5C19"/>
    <w:rsid w:val="001B6496"/>
    <w:rsid w:val="001B7FEB"/>
    <w:rsid w:val="001C01FC"/>
    <w:rsid w:val="001C06DF"/>
    <w:rsid w:val="001C20FF"/>
    <w:rsid w:val="001C524E"/>
    <w:rsid w:val="001C5F2E"/>
    <w:rsid w:val="001C6672"/>
    <w:rsid w:val="001C7306"/>
    <w:rsid w:val="001C7A45"/>
    <w:rsid w:val="001D03A7"/>
    <w:rsid w:val="001D0533"/>
    <w:rsid w:val="001D0BF4"/>
    <w:rsid w:val="001D2910"/>
    <w:rsid w:val="001D2AAF"/>
    <w:rsid w:val="001D304B"/>
    <w:rsid w:val="001D4ACA"/>
    <w:rsid w:val="001D5BD1"/>
    <w:rsid w:val="001D6715"/>
    <w:rsid w:val="001D7D37"/>
    <w:rsid w:val="001E0214"/>
    <w:rsid w:val="001E0672"/>
    <w:rsid w:val="001E0AA4"/>
    <w:rsid w:val="001E208B"/>
    <w:rsid w:val="001E27BD"/>
    <w:rsid w:val="001E3049"/>
    <w:rsid w:val="001E519F"/>
    <w:rsid w:val="001E588D"/>
    <w:rsid w:val="001E5892"/>
    <w:rsid w:val="001E790E"/>
    <w:rsid w:val="001E7A42"/>
    <w:rsid w:val="001E7D3E"/>
    <w:rsid w:val="001F0A82"/>
    <w:rsid w:val="001F0E67"/>
    <w:rsid w:val="001F0EB8"/>
    <w:rsid w:val="001F18E7"/>
    <w:rsid w:val="001F1D01"/>
    <w:rsid w:val="001F30C1"/>
    <w:rsid w:val="001F32BC"/>
    <w:rsid w:val="001F33D2"/>
    <w:rsid w:val="001F38BE"/>
    <w:rsid w:val="001F4968"/>
    <w:rsid w:val="001F56DF"/>
    <w:rsid w:val="001F61B8"/>
    <w:rsid w:val="001F62DF"/>
    <w:rsid w:val="001F670A"/>
    <w:rsid w:val="001F6839"/>
    <w:rsid w:val="001F6C5B"/>
    <w:rsid w:val="001F700D"/>
    <w:rsid w:val="001F728A"/>
    <w:rsid w:val="00200669"/>
    <w:rsid w:val="00200B5E"/>
    <w:rsid w:val="0020159D"/>
    <w:rsid w:val="00201A35"/>
    <w:rsid w:val="002020D7"/>
    <w:rsid w:val="002024F1"/>
    <w:rsid w:val="00202765"/>
    <w:rsid w:val="00203EF0"/>
    <w:rsid w:val="0020424B"/>
    <w:rsid w:val="002046F0"/>
    <w:rsid w:val="00204CBA"/>
    <w:rsid w:val="0020627C"/>
    <w:rsid w:val="002066EE"/>
    <w:rsid w:val="00206881"/>
    <w:rsid w:val="00206DF6"/>
    <w:rsid w:val="00207372"/>
    <w:rsid w:val="002076FF"/>
    <w:rsid w:val="00210B32"/>
    <w:rsid w:val="00212852"/>
    <w:rsid w:val="00213578"/>
    <w:rsid w:val="00213B89"/>
    <w:rsid w:val="00213BFD"/>
    <w:rsid w:val="00216847"/>
    <w:rsid w:val="00216861"/>
    <w:rsid w:val="00216CF6"/>
    <w:rsid w:val="00217077"/>
    <w:rsid w:val="0021713C"/>
    <w:rsid w:val="00217677"/>
    <w:rsid w:val="00217C89"/>
    <w:rsid w:val="00220822"/>
    <w:rsid w:val="00220CCF"/>
    <w:rsid w:val="00220CFA"/>
    <w:rsid w:val="00223FFE"/>
    <w:rsid w:val="00224583"/>
    <w:rsid w:val="00225B15"/>
    <w:rsid w:val="00225CE0"/>
    <w:rsid w:val="0022791C"/>
    <w:rsid w:val="0022797A"/>
    <w:rsid w:val="00227E1B"/>
    <w:rsid w:val="00227EBF"/>
    <w:rsid w:val="00227F1F"/>
    <w:rsid w:val="0023078D"/>
    <w:rsid w:val="00231B44"/>
    <w:rsid w:val="00232018"/>
    <w:rsid w:val="0023269A"/>
    <w:rsid w:val="002327A5"/>
    <w:rsid w:val="002332FF"/>
    <w:rsid w:val="00233879"/>
    <w:rsid w:val="002340B6"/>
    <w:rsid w:val="00234BA2"/>
    <w:rsid w:val="0023544D"/>
    <w:rsid w:val="00235582"/>
    <w:rsid w:val="00235F74"/>
    <w:rsid w:val="00236EA9"/>
    <w:rsid w:val="002370AB"/>
    <w:rsid w:val="0023742F"/>
    <w:rsid w:val="00237872"/>
    <w:rsid w:val="00237D2F"/>
    <w:rsid w:val="0024033F"/>
    <w:rsid w:val="002403F4"/>
    <w:rsid w:val="00241A73"/>
    <w:rsid w:val="00241B53"/>
    <w:rsid w:val="00242164"/>
    <w:rsid w:val="00243378"/>
    <w:rsid w:val="00244010"/>
    <w:rsid w:val="0024544B"/>
    <w:rsid w:val="002469CE"/>
    <w:rsid w:val="00246F9F"/>
    <w:rsid w:val="00247563"/>
    <w:rsid w:val="0024794C"/>
    <w:rsid w:val="00247C2C"/>
    <w:rsid w:val="00247CC1"/>
    <w:rsid w:val="00250AAC"/>
    <w:rsid w:val="00250FB8"/>
    <w:rsid w:val="00251631"/>
    <w:rsid w:val="00251782"/>
    <w:rsid w:val="00251F43"/>
    <w:rsid w:val="00253D2A"/>
    <w:rsid w:val="00253FCB"/>
    <w:rsid w:val="00254F79"/>
    <w:rsid w:val="00255D53"/>
    <w:rsid w:val="0025646C"/>
    <w:rsid w:val="002568AB"/>
    <w:rsid w:val="002614DE"/>
    <w:rsid w:val="002619DE"/>
    <w:rsid w:val="0026278E"/>
    <w:rsid w:val="00263024"/>
    <w:rsid w:val="00263914"/>
    <w:rsid w:val="00264E6B"/>
    <w:rsid w:val="002664C3"/>
    <w:rsid w:val="002675A8"/>
    <w:rsid w:val="002705DD"/>
    <w:rsid w:val="00270680"/>
    <w:rsid w:val="00271CE8"/>
    <w:rsid w:val="0027267C"/>
    <w:rsid w:val="00272F6F"/>
    <w:rsid w:val="0027418C"/>
    <w:rsid w:val="00277010"/>
    <w:rsid w:val="0028020A"/>
    <w:rsid w:val="0028220B"/>
    <w:rsid w:val="00283A56"/>
    <w:rsid w:val="00285069"/>
    <w:rsid w:val="002850A6"/>
    <w:rsid w:val="00285439"/>
    <w:rsid w:val="00285C61"/>
    <w:rsid w:val="00285C73"/>
    <w:rsid w:val="0028792D"/>
    <w:rsid w:val="00290335"/>
    <w:rsid w:val="002924FB"/>
    <w:rsid w:val="002929FA"/>
    <w:rsid w:val="002932B9"/>
    <w:rsid w:val="00293B2D"/>
    <w:rsid w:val="00294A25"/>
    <w:rsid w:val="00294BBA"/>
    <w:rsid w:val="002954C3"/>
    <w:rsid w:val="00295949"/>
    <w:rsid w:val="00295AC6"/>
    <w:rsid w:val="00296EBF"/>
    <w:rsid w:val="00296F9A"/>
    <w:rsid w:val="00297214"/>
    <w:rsid w:val="00297387"/>
    <w:rsid w:val="002A0DDB"/>
    <w:rsid w:val="002A1A4D"/>
    <w:rsid w:val="002A2110"/>
    <w:rsid w:val="002A4405"/>
    <w:rsid w:val="002A4429"/>
    <w:rsid w:val="002A44DF"/>
    <w:rsid w:val="002A481E"/>
    <w:rsid w:val="002A5BB6"/>
    <w:rsid w:val="002A6D80"/>
    <w:rsid w:val="002A6F6A"/>
    <w:rsid w:val="002A75A3"/>
    <w:rsid w:val="002B06F0"/>
    <w:rsid w:val="002B0BCD"/>
    <w:rsid w:val="002B0EA4"/>
    <w:rsid w:val="002B0EDE"/>
    <w:rsid w:val="002B1DDC"/>
    <w:rsid w:val="002B1DFC"/>
    <w:rsid w:val="002B2376"/>
    <w:rsid w:val="002B2C59"/>
    <w:rsid w:val="002B32E8"/>
    <w:rsid w:val="002B3E2E"/>
    <w:rsid w:val="002B4D02"/>
    <w:rsid w:val="002B5474"/>
    <w:rsid w:val="002B603E"/>
    <w:rsid w:val="002B67FC"/>
    <w:rsid w:val="002B6D2E"/>
    <w:rsid w:val="002C070C"/>
    <w:rsid w:val="002C142D"/>
    <w:rsid w:val="002C3473"/>
    <w:rsid w:val="002C3CDB"/>
    <w:rsid w:val="002C4712"/>
    <w:rsid w:val="002C5FEA"/>
    <w:rsid w:val="002C61D0"/>
    <w:rsid w:val="002C690A"/>
    <w:rsid w:val="002C6A53"/>
    <w:rsid w:val="002C6E4D"/>
    <w:rsid w:val="002C6F50"/>
    <w:rsid w:val="002D08AE"/>
    <w:rsid w:val="002D0D7F"/>
    <w:rsid w:val="002D25B6"/>
    <w:rsid w:val="002D2BCA"/>
    <w:rsid w:val="002D2D59"/>
    <w:rsid w:val="002D3729"/>
    <w:rsid w:val="002D41F7"/>
    <w:rsid w:val="002D7213"/>
    <w:rsid w:val="002D7526"/>
    <w:rsid w:val="002D7ACD"/>
    <w:rsid w:val="002E139D"/>
    <w:rsid w:val="002E15F4"/>
    <w:rsid w:val="002E1A9A"/>
    <w:rsid w:val="002E1C00"/>
    <w:rsid w:val="002E23AA"/>
    <w:rsid w:val="002E297E"/>
    <w:rsid w:val="002E32DB"/>
    <w:rsid w:val="002E32DD"/>
    <w:rsid w:val="002E3F5A"/>
    <w:rsid w:val="002E4C26"/>
    <w:rsid w:val="002E5171"/>
    <w:rsid w:val="002E56F3"/>
    <w:rsid w:val="002E7099"/>
    <w:rsid w:val="002E747D"/>
    <w:rsid w:val="002E748A"/>
    <w:rsid w:val="002E7BD4"/>
    <w:rsid w:val="002F0699"/>
    <w:rsid w:val="002F0791"/>
    <w:rsid w:val="002F1EFC"/>
    <w:rsid w:val="002F2771"/>
    <w:rsid w:val="002F27D0"/>
    <w:rsid w:val="002F2A04"/>
    <w:rsid w:val="002F42E2"/>
    <w:rsid w:val="002F4B12"/>
    <w:rsid w:val="00300537"/>
    <w:rsid w:val="003008FA"/>
    <w:rsid w:val="0030117A"/>
    <w:rsid w:val="003013CB"/>
    <w:rsid w:val="003028DD"/>
    <w:rsid w:val="003037E7"/>
    <w:rsid w:val="0030394B"/>
    <w:rsid w:val="00304313"/>
    <w:rsid w:val="00304B57"/>
    <w:rsid w:val="003050AD"/>
    <w:rsid w:val="0030516C"/>
    <w:rsid w:val="003077AF"/>
    <w:rsid w:val="00307A91"/>
    <w:rsid w:val="003107F7"/>
    <w:rsid w:val="003109F5"/>
    <w:rsid w:val="003116EE"/>
    <w:rsid w:val="00311B60"/>
    <w:rsid w:val="003121C1"/>
    <w:rsid w:val="00312351"/>
    <w:rsid w:val="00312F3D"/>
    <w:rsid w:val="0031300C"/>
    <w:rsid w:val="00313D75"/>
    <w:rsid w:val="003140B9"/>
    <w:rsid w:val="0031451E"/>
    <w:rsid w:val="00314558"/>
    <w:rsid w:val="003149D9"/>
    <w:rsid w:val="00314A39"/>
    <w:rsid w:val="00314B8C"/>
    <w:rsid w:val="00315C69"/>
    <w:rsid w:val="00315E8A"/>
    <w:rsid w:val="003207C5"/>
    <w:rsid w:val="003209A4"/>
    <w:rsid w:val="00322006"/>
    <w:rsid w:val="0032373B"/>
    <w:rsid w:val="0032375F"/>
    <w:rsid w:val="00323A11"/>
    <w:rsid w:val="00324E22"/>
    <w:rsid w:val="00324E28"/>
    <w:rsid w:val="003251BD"/>
    <w:rsid w:val="00327EE2"/>
    <w:rsid w:val="00330976"/>
    <w:rsid w:val="00330A52"/>
    <w:rsid w:val="00331052"/>
    <w:rsid w:val="00331B48"/>
    <w:rsid w:val="00332472"/>
    <w:rsid w:val="003328BB"/>
    <w:rsid w:val="00333073"/>
    <w:rsid w:val="0033368E"/>
    <w:rsid w:val="003369F6"/>
    <w:rsid w:val="00337080"/>
    <w:rsid w:val="00337176"/>
    <w:rsid w:val="00337472"/>
    <w:rsid w:val="00337680"/>
    <w:rsid w:val="00337F1F"/>
    <w:rsid w:val="003418F5"/>
    <w:rsid w:val="003431A0"/>
    <w:rsid w:val="0034462C"/>
    <w:rsid w:val="00345C4B"/>
    <w:rsid w:val="00347D40"/>
    <w:rsid w:val="00347F88"/>
    <w:rsid w:val="00350B62"/>
    <w:rsid w:val="00351543"/>
    <w:rsid w:val="0035188C"/>
    <w:rsid w:val="00351F4D"/>
    <w:rsid w:val="003526DE"/>
    <w:rsid w:val="00353FD9"/>
    <w:rsid w:val="003547D1"/>
    <w:rsid w:val="00354A22"/>
    <w:rsid w:val="00354E35"/>
    <w:rsid w:val="003557CF"/>
    <w:rsid w:val="00356449"/>
    <w:rsid w:val="00356E57"/>
    <w:rsid w:val="00357A2D"/>
    <w:rsid w:val="00357E4F"/>
    <w:rsid w:val="00357EED"/>
    <w:rsid w:val="00363BFF"/>
    <w:rsid w:val="00363E1A"/>
    <w:rsid w:val="0036419B"/>
    <w:rsid w:val="00370844"/>
    <w:rsid w:val="0037251F"/>
    <w:rsid w:val="00374BC7"/>
    <w:rsid w:val="00375EB8"/>
    <w:rsid w:val="00376964"/>
    <w:rsid w:val="00377688"/>
    <w:rsid w:val="00377AE4"/>
    <w:rsid w:val="00380675"/>
    <w:rsid w:val="003815BD"/>
    <w:rsid w:val="003820C4"/>
    <w:rsid w:val="00383409"/>
    <w:rsid w:val="00383F0F"/>
    <w:rsid w:val="00385573"/>
    <w:rsid w:val="00386095"/>
    <w:rsid w:val="0038638E"/>
    <w:rsid w:val="003863C7"/>
    <w:rsid w:val="00386825"/>
    <w:rsid w:val="00386FAB"/>
    <w:rsid w:val="0039030A"/>
    <w:rsid w:val="0039181B"/>
    <w:rsid w:val="00391B2E"/>
    <w:rsid w:val="003920AC"/>
    <w:rsid w:val="003922FA"/>
    <w:rsid w:val="003923FD"/>
    <w:rsid w:val="0039347E"/>
    <w:rsid w:val="003943A9"/>
    <w:rsid w:val="00396789"/>
    <w:rsid w:val="00397053"/>
    <w:rsid w:val="003A08E6"/>
    <w:rsid w:val="003A0EB6"/>
    <w:rsid w:val="003A1D6E"/>
    <w:rsid w:val="003A27F5"/>
    <w:rsid w:val="003A2BB9"/>
    <w:rsid w:val="003A3930"/>
    <w:rsid w:val="003A42B7"/>
    <w:rsid w:val="003A494E"/>
    <w:rsid w:val="003A4B21"/>
    <w:rsid w:val="003A549B"/>
    <w:rsid w:val="003A5720"/>
    <w:rsid w:val="003A58FA"/>
    <w:rsid w:val="003A5CE4"/>
    <w:rsid w:val="003A7453"/>
    <w:rsid w:val="003B078F"/>
    <w:rsid w:val="003B082B"/>
    <w:rsid w:val="003B1D78"/>
    <w:rsid w:val="003B209A"/>
    <w:rsid w:val="003B3C47"/>
    <w:rsid w:val="003B3D1D"/>
    <w:rsid w:val="003B4517"/>
    <w:rsid w:val="003B4845"/>
    <w:rsid w:val="003B4B89"/>
    <w:rsid w:val="003B4CC1"/>
    <w:rsid w:val="003B4F11"/>
    <w:rsid w:val="003B5330"/>
    <w:rsid w:val="003B5BDE"/>
    <w:rsid w:val="003B6575"/>
    <w:rsid w:val="003B6A0E"/>
    <w:rsid w:val="003B6E15"/>
    <w:rsid w:val="003B727A"/>
    <w:rsid w:val="003C025E"/>
    <w:rsid w:val="003C12AF"/>
    <w:rsid w:val="003C195F"/>
    <w:rsid w:val="003C1E28"/>
    <w:rsid w:val="003C2640"/>
    <w:rsid w:val="003C2BDB"/>
    <w:rsid w:val="003C3A44"/>
    <w:rsid w:val="003C424A"/>
    <w:rsid w:val="003C477C"/>
    <w:rsid w:val="003C4956"/>
    <w:rsid w:val="003C4BE4"/>
    <w:rsid w:val="003C4DE4"/>
    <w:rsid w:val="003C7B3C"/>
    <w:rsid w:val="003D092B"/>
    <w:rsid w:val="003D0C42"/>
    <w:rsid w:val="003D252F"/>
    <w:rsid w:val="003D393D"/>
    <w:rsid w:val="003D43D1"/>
    <w:rsid w:val="003D5511"/>
    <w:rsid w:val="003D641C"/>
    <w:rsid w:val="003D715D"/>
    <w:rsid w:val="003D7495"/>
    <w:rsid w:val="003D7988"/>
    <w:rsid w:val="003E09AD"/>
    <w:rsid w:val="003E0CFD"/>
    <w:rsid w:val="003E138D"/>
    <w:rsid w:val="003E1820"/>
    <w:rsid w:val="003E204E"/>
    <w:rsid w:val="003E2996"/>
    <w:rsid w:val="003E3C1A"/>
    <w:rsid w:val="003E49BA"/>
    <w:rsid w:val="003E512A"/>
    <w:rsid w:val="003E55AE"/>
    <w:rsid w:val="003E5A96"/>
    <w:rsid w:val="003E5D10"/>
    <w:rsid w:val="003F1B84"/>
    <w:rsid w:val="003F2EBA"/>
    <w:rsid w:val="003F38B7"/>
    <w:rsid w:val="003F4300"/>
    <w:rsid w:val="003F6047"/>
    <w:rsid w:val="003F6127"/>
    <w:rsid w:val="00400D66"/>
    <w:rsid w:val="00400E05"/>
    <w:rsid w:val="00402FA0"/>
    <w:rsid w:val="00403728"/>
    <w:rsid w:val="00404297"/>
    <w:rsid w:val="004052BC"/>
    <w:rsid w:val="00405D8C"/>
    <w:rsid w:val="00406264"/>
    <w:rsid w:val="00406319"/>
    <w:rsid w:val="004066C3"/>
    <w:rsid w:val="004071A4"/>
    <w:rsid w:val="004077DE"/>
    <w:rsid w:val="004128A0"/>
    <w:rsid w:val="00412EA0"/>
    <w:rsid w:val="00412EF8"/>
    <w:rsid w:val="00412F94"/>
    <w:rsid w:val="004132DC"/>
    <w:rsid w:val="00414DB4"/>
    <w:rsid w:val="0041581A"/>
    <w:rsid w:val="00416437"/>
    <w:rsid w:val="00421534"/>
    <w:rsid w:val="004218CE"/>
    <w:rsid w:val="00422431"/>
    <w:rsid w:val="004238B4"/>
    <w:rsid w:val="00424281"/>
    <w:rsid w:val="00424A16"/>
    <w:rsid w:val="00430152"/>
    <w:rsid w:val="004314E1"/>
    <w:rsid w:val="00431CAE"/>
    <w:rsid w:val="00431DB8"/>
    <w:rsid w:val="00432002"/>
    <w:rsid w:val="00433682"/>
    <w:rsid w:val="00434F79"/>
    <w:rsid w:val="00435330"/>
    <w:rsid w:val="00435946"/>
    <w:rsid w:val="00435F14"/>
    <w:rsid w:val="00436B36"/>
    <w:rsid w:val="00441276"/>
    <w:rsid w:val="004421F5"/>
    <w:rsid w:val="00443CFF"/>
    <w:rsid w:val="00444F29"/>
    <w:rsid w:val="004451D6"/>
    <w:rsid w:val="0044558B"/>
    <w:rsid w:val="00445BDE"/>
    <w:rsid w:val="00445FA1"/>
    <w:rsid w:val="00446C4A"/>
    <w:rsid w:val="00447056"/>
    <w:rsid w:val="00447A3A"/>
    <w:rsid w:val="004509E3"/>
    <w:rsid w:val="00450B43"/>
    <w:rsid w:val="00451416"/>
    <w:rsid w:val="00451AD9"/>
    <w:rsid w:val="0045274D"/>
    <w:rsid w:val="00452793"/>
    <w:rsid w:val="00452862"/>
    <w:rsid w:val="00452B95"/>
    <w:rsid w:val="00454F76"/>
    <w:rsid w:val="0045645F"/>
    <w:rsid w:val="004568D1"/>
    <w:rsid w:val="004602C3"/>
    <w:rsid w:val="00460E48"/>
    <w:rsid w:val="0046114F"/>
    <w:rsid w:val="0046159E"/>
    <w:rsid w:val="00462ABB"/>
    <w:rsid w:val="00463429"/>
    <w:rsid w:val="004642FE"/>
    <w:rsid w:val="00465007"/>
    <w:rsid w:val="0046591D"/>
    <w:rsid w:val="004661B2"/>
    <w:rsid w:val="004702AD"/>
    <w:rsid w:val="00472417"/>
    <w:rsid w:val="00473614"/>
    <w:rsid w:val="004738EB"/>
    <w:rsid w:val="00475726"/>
    <w:rsid w:val="00475A1D"/>
    <w:rsid w:val="00475ECF"/>
    <w:rsid w:val="004767B0"/>
    <w:rsid w:val="004772EC"/>
    <w:rsid w:val="00480179"/>
    <w:rsid w:val="0048083F"/>
    <w:rsid w:val="00480C41"/>
    <w:rsid w:val="004811AA"/>
    <w:rsid w:val="00481B62"/>
    <w:rsid w:val="00482DA8"/>
    <w:rsid w:val="00483074"/>
    <w:rsid w:val="00483E7A"/>
    <w:rsid w:val="004843DF"/>
    <w:rsid w:val="004860A3"/>
    <w:rsid w:val="00487638"/>
    <w:rsid w:val="004878D5"/>
    <w:rsid w:val="00487F58"/>
    <w:rsid w:val="0049191D"/>
    <w:rsid w:val="00491D8F"/>
    <w:rsid w:val="00491E51"/>
    <w:rsid w:val="0049236C"/>
    <w:rsid w:val="0049393B"/>
    <w:rsid w:val="00493DAD"/>
    <w:rsid w:val="00493E43"/>
    <w:rsid w:val="00494A46"/>
    <w:rsid w:val="00495500"/>
    <w:rsid w:val="00496026"/>
    <w:rsid w:val="00496A72"/>
    <w:rsid w:val="004976FD"/>
    <w:rsid w:val="00497CB7"/>
    <w:rsid w:val="004A0DCC"/>
    <w:rsid w:val="004A292A"/>
    <w:rsid w:val="004A2DF3"/>
    <w:rsid w:val="004A35A3"/>
    <w:rsid w:val="004A4A4A"/>
    <w:rsid w:val="004B0D41"/>
    <w:rsid w:val="004B18A6"/>
    <w:rsid w:val="004B3F51"/>
    <w:rsid w:val="004B5A54"/>
    <w:rsid w:val="004B5EB0"/>
    <w:rsid w:val="004B5FE5"/>
    <w:rsid w:val="004B69C2"/>
    <w:rsid w:val="004B7002"/>
    <w:rsid w:val="004B7C0C"/>
    <w:rsid w:val="004C1C09"/>
    <w:rsid w:val="004C2EBD"/>
    <w:rsid w:val="004C49A4"/>
    <w:rsid w:val="004C5B26"/>
    <w:rsid w:val="004C6E70"/>
    <w:rsid w:val="004C75BE"/>
    <w:rsid w:val="004C7752"/>
    <w:rsid w:val="004C7E83"/>
    <w:rsid w:val="004D159E"/>
    <w:rsid w:val="004D363A"/>
    <w:rsid w:val="004D3992"/>
    <w:rsid w:val="004D49FC"/>
    <w:rsid w:val="004D5D04"/>
    <w:rsid w:val="004D5FE8"/>
    <w:rsid w:val="004D6528"/>
    <w:rsid w:val="004D72E5"/>
    <w:rsid w:val="004E16DC"/>
    <w:rsid w:val="004E3A5F"/>
    <w:rsid w:val="004E3CEE"/>
    <w:rsid w:val="004E43E8"/>
    <w:rsid w:val="004E599A"/>
    <w:rsid w:val="004E67DE"/>
    <w:rsid w:val="004E75DE"/>
    <w:rsid w:val="004F0859"/>
    <w:rsid w:val="004F139B"/>
    <w:rsid w:val="004F1D1A"/>
    <w:rsid w:val="004F2F1F"/>
    <w:rsid w:val="004F3226"/>
    <w:rsid w:val="004F3679"/>
    <w:rsid w:val="004F3E6D"/>
    <w:rsid w:val="004F47B4"/>
    <w:rsid w:val="004F4A4B"/>
    <w:rsid w:val="004F4CFF"/>
    <w:rsid w:val="004F5B91"/>
    <w:rsid w:val="004F5CDA"/>
    <w:rsid w:val="004F6B46"/>
    <w:rsid w:val="00501EFF"/>
    <w:rsid w:val="00502F8A"/>
    <w:rsid w:val="005031D9"/>
    <w:rsid w:val="0050422F"/>
    <w:rsid w:val="00505100"/>
    <w:rsid w:val="00505AF9"/>
    <w:rsid w:val="00507436"/>
    <w:rsid w:val="0050765C"/>
    <w:rsid w:val="00507BB1"/>
    <w:rsid w:val="00510026"/>
    <w:rsid w:val="005102B7"/>
    <w:rsid w:val="00510447"/>
    <w:rsid w:val="00513D2C"/>
    <w:rsid w:val="0051400D"/>
    <w:rsid w:val="00514353"/>
    <w:rsid w:val="00514E55"/>
    <w:rsid w:val="00515CF0"/>
    <w:rsid w:val="005167F6"/>
    <w:rsid w:val="00516AD4"/>
    <w:rsid w:val="00520EF5"/>
    <w:rsid w:val="00522A4A"/>
    <w:rsid w:val="00525C68"/>
    <w:rsid w:val="00526863"/>
    <w:rsid w:val="00526CD5"/>
    <w:rsid w:val="005270F9"/>
    <w:rsid w:val="005271E8"/>
    <w:rsid w:val="0053170E"/>
    <w:rsid w:val="00531A97"/>
    <w:rsid w:val="00533EFB"/>
    <w:rsid w:val="005346D9"/>
    <w:rsid w:val="005347AA"/>
    <w:rsid w:val="00534C4E"/>
    <w:rsid w:val="00536D6E"/>
    <w:rsid w:val="005401FA"/>
    <w:rsid w:val="00540367"/>
    <w:rsid w:val="0054046E"/>
    <w:rsid w:val="00541138"/>
    <w:rsid w:val="00541C3A"/>
    <w:rsid w:val="00541D37"/>
    <w:rsid w:val="00542307"/>
    <w:rsid w:val="00542505"/>
    <w:rsid w:val="00542F20"/>
    <w:rsid w:val="00543BA8"/>
    <w:rsid w:val="00544540"/>
    <w:rsid w:val="005447C6"/>
    <w:rsid w:val="00544F9F"/>
    <w:rsid w:val="00545115"/>
    <w:rsid w:val="00545442"/>
    <w:rsid w:val="0054563C"/>
    <w:rsid w:val="00545A93"/>
    <w:rsid w:val="00546D05"/>
    <w:rsid w:val="0055093F"/>
    <w:rsid w:val="00550AF7"/>
    <w:rsid w:val="00552799"/>
    <w:rsid w:val="00552E93"/>
    <w:rsid w:val="0055626C"/>
    <w:rsid w:val="005573BA"/>
    <w:rsid w:val="00557EFB"/>
    <w:rsid w:val="005606D7"/>
    <w:rsid w:val="00560788"/>
    <w:rsid w:val="0056267C"/>
    <w:rsid w:val="00563488"/>
    <w:rsid w:val="00563C6F"/>
    <w:rsid w:val="005640D6"/>
    <w:rsid w:val="005642A7"/>
    <w:rsid w:val="005643BB"/>
    <w:rsid w:val="00564F21"/>
    <w:rsid w:val="00565304"/>
    <w:rsid w:val="00566938"/>
    <w:rsid w:val="00566F1D"/>
    <w:rsid w:val="00567A1C"/>
    <w:rsid w:val="005704B1"/>
    <w:rsid w:val="00572C16"/>
    <w:rsid w:val="00572D94"/>
    <w:rsid w:val="00572F97"/>
    <w:rsid w:val="00573556"/>
    <w:rsid w:val="00573A7E"/>
    <w:rsid w:val="00573D2F"/>
    <w:rsid w:val="00573FEE"/>
    <w:rsid w:val="0057414D"/>
    <w:rsid w:val="0057577F"/>
    <w:rsid w:val="00575B15"/>
    <w:rsid w:val="005762BB"/>
    <w:rsid w:val="0058078A"/>
    <w:rsid w:val="005808D6"/>
    <w:rsid w:val="00580C52"/>
    <w:rsid w:val="005825C4"/>
    <w:rsid w:val="00582AB8"/>
    <w:rsid w:val="00582FAF"/>
    <w:rsid w:val="00583AB4"/>
    <w:rsid w:val="005843DE"/>
    <w:rsid w:val="0058445C"/>
    <w:rsid w:val="00584C42"/>
    <w:rsid w:val="00587E0A"/>
    <w:rsid w:val="00587E65"/>
    <w:rsid w:val="0059016F"/>
    <w:rsid w:val="005904A9"/>
    <w:rsid w:val="005911A6"/>
    <w:rsid w:val="00591FAA"/>
    <w:rsid w:val="0059305A"/>
    <w:rsid w:val="00593753"/>
    <w:rsid w:val="00593757"/>
    <w:rsid w:val="00593BF7"/>
    <w:rsid w:val="005950B7"/>
    <w:rsid w:val="00595949"/>
    <w:rsid w:val="00595A0A"/>
    <w:rsid w:val="0059682F"/>
    <w:rsid w:val="00596959"/>
    <w:rsid w:val="005969FB"/>
    <w:rsid w:val="00596DAA"/>
    <w:rsid w:val="005A0A3B"/>
    <w:rsid w:val="005A0B33"/>
    <w:rsid w:val="005A1449"/>
    <w:rsid w:val="005A411F"/>
    <w:rsid w:val="005A4ADA"/>
    <w:rsid w:val="005A5BD3"/>
    <w:rsid w:val="005A64C3"/>
    <w:rsid w:val="005A769C"/>
    <w:rsid w:val="005A78E9"/>
    <w:rsid w:val="005A7925"/>
    <w:rsid w:val="005A7EB3"/>
    <w:rsid w:val="005B0913"/>
    <w:rsid w:val="005B194F"/>
    <w:rsid w:val="005B2210"/>
    <w:rsid w:val="005B236D"/>
    <w:rsid w:val="005B23E2"/>
    <w:rsid w:val="005B2E17"/>
    <w:rsid w:val="005B2F9A"/>
    <w:rsid w:val="005B4F66"/>
    <w:rsid w:val="005B5527"/>
    <w:rsid w:val="005B5E9E"/>
    <w:rsid w:val="005B6869"/>
    <w:rsid w:val="005B68D7"/>
    <w:rsid w:val="005B6B53"/>
    <w:rsid w:val="005B6D3A"/>
    <w:rsid w:val="005B7925"/>
    <w:rsid w:val="005B7CCC"/>
    <w:rsid w:val="005C05DF"/>
    <w:rsid w:val="005C0B13"/>
    <w:rsid w:val="005C168F"/>
    <w:rsid w:val="005C228E"/>
    <w:rsid w:val="005C2580"/>
    <w:rsid w:val="005C2A03"/>
    <w:rsid w:val="005C2E6F"/>
    <w:rsid w:val="005C3F61"/>
    <w:rsid w:val="005C514F"/>
    <w:rsid w:val="005C5CC3"/>
    <w:rsid w:val="005C5DC4"/>
    <w:rsid w:val="005C6497"/>
    <w:rsid w:val="005C757A"/>
    <w:rsid w:val="005C7ECC"/>
    <w:rsid w:val="005D07E2"/>
    <w:rsid w:val="005D18D1"/>
    <w:rsid w:val="005D2015"/>
    <w:rsid w:val="005D239A"/>
    <w:rsid w:val="005D2912"/>
    <w:rsid w:val="005D3072"/>
    <w:rsid w:val="005D450D"/>
    <w:rsid w:val="005D5310"/>
    <w:rsid w:val="005D5335"/>
    <w:rsid w:val="005D5381"/>
    <w:rsid w:val="005D5512"/>
    <w:rsid w:val="005D6306"/>
    <w:rsid w:val="005D6885"/>
    <w:rsid w:val="005D71F0"/>
    <w:rsid w:val="005E070B"/>
    <w:rsid w:val="005E0C8F"/>
    <w:rsid w:val="005E20D9"/>
    <w:rsid w:val="005E2400"/>
    <w:rsid w:val="005E3501"/>
    <w:rsid w:val="005E3E2F"/>
    <w:rsid w:val="005E4CF5"/>
    <w:rsid w:val="005E5896"/>
    <w:rsid w:val="005E7128"/>
    <w:rsid w:val="005E7819"/>
    <w:rsid w:val="005F08E4"/>
    <w:rsid w:val="005F1271"/>
    <w:rsid w:val="005F3D7B"/>
    <w:rsid w:val="005F4B09"/>
    <w:rsid w:val="005F525A"/>
    <w:rsid w:val="005F54F5"/>
    <w:rsid w:val="005F56E8"/>
    <w:rsid w:val="005F57DC"/>
    <w:rsid w:val="005F68FD"/>
    <w:rsid w:val="005F6A80"/>
    <w:rsid w:val="005F74C0"/>
    <w:rsid w:val="005F7A42"/>
    <w:rsid w:val="005F7B7A"/>
    <w:rsid w:val="00600571"/>
    <w:rsid w:val="00600742"/>
    <w:rsid w:val="00603694"/>
    <w:rsid w:val="00604B01"/>
    <w:rsid w:val="00604C14"/>
    <w:rsid w:val="00605199"/>
    <w:rsid w:val="00605C68"/>
    <w:rsid w:val="00606BD7"/>
    <w:rsid w:val="0060741A"/>
    <w:rsid w:val="00607B29"/>
    <w:rsid w:val="006104DB"/>
    <w:rsid w:val="006109A2"/>
    <w:rsid w:val="00610DF3"/>
    <w:rsid w:val="0061290A"/>
    <w:rsid w:val="006135F9"/>
    <w:rsid w:val="006136D8"/>
    <w:rsid w:val="00614B45"/>
    <w:rsid w:val="00615231"/>
    <w:rsid w:val="0061531E"/>
    <w:rsid w:val="00615EBC"/>
    <w:rsid w:val="006164D9"/>
    <w:rsid w:val="00616685"/>
    <w:rsid w:val="0062010D"/>
    <w:rsid w:val="0062022D"/>
    <w:rsid w:val="00620330"/>
    <w:rsid w:val="006213BC"/>
    <w:rsid w:val="00621B9E"/>
    <w:rsid w:val="00621DB1"/>
    <w:rsid w:val="006226AF"/>
    <w:rsid w:val="006228AB"/>
    <w:rsid w:val="006228E5"/>
    <w:rsid w:val="00623B5C"/>
    <w:rsid w:val="00624260"/>
    <w:rsid w:val="00624C5E"/>
    <w:rsid w:val="00625EAF"/>
    <w:rsid w:val="0063057A"/>
    <w:rsid w:val="006307AF"/>
    <w:rsid w:val="00630D0C"/>
    <w:rsid w:val="00630F20"/>
    <w:rsid w:val="0063189B"/>
    <w:rsid w:val="006328A9"/>
    <w:rsid w:val="00633E07"/>
    <w:rsid w:val="006340AF"/>
    <w:rsid w:val="006344A1"/>
    <w:rsid w:val="00635D2C"/>
    <w:rsid w:val="00636ADE"/>
    <w:rsid w:val="00640094"/>
    <w:rsid w:val="00640B57"/>
    <w:rsid w:val="00640DED"/>
    <w:rsid w:val="006435A9"/>
    <w:rsid w:val="00645750"/>
    <w:rsid w:val="00645769"/>
    <w:rsid w:val="00645BE5"/>
    <w:rsid w:val="006464CD"/>
    <w:rsid w:val="00646FC4"/>
    <w:rsid w:val="00647212"/>
    <w:rsid w:val="00647838"/>
    <w:rsid w:val="00651808"/>
    <w:rsid w:val="006524EF"/>
    <w:rsid w:val="006528C9"/>
    <w:rsid w:val="00652A88"/>
    <w:rsid w:val="00652E1D"/>
    <w:rsid w:val="0065330A"/>
    <w:rsid w:val="0065371C"/>
    <w:rsid w:val="0065483A"/>
    <w:rsid w:val="00654D29"/>
    <w:rsid w:val="006559A5"/>
    <w:rsid w:val="00656228"/>
    <w:rsid w:val="00656676"/>
    <w:rsid w:val="006568D1"/>
    <w:rsid w:val="0065712E"/>
    <w:rsid w:val="00657296"/>
    <w:rsid w:val="00661EB3"/>
    <w:rsid w:val="00663029"/>
    <w:rsid w:val="00666FB5"/>
    <w:rsid w:val="006673E8"/>
    <w:rsid w:val="00670E6B"/>
    <w:rsid w:val="0067150A"/>
    <w:rsid w:val="00671EC0"/>
    <w:rsid w:val="006726B8"/>
    <w:rsid w:val="00674C38"/>
    <w:rsid w:val="00676062"/>
    <w:rsid w:val="0067620B"/>
    <w:rsid w:val="00676747"/>
    <w:rsid w:val="00676F48"/>
    <w:rsid w:val="0067770B"/>
    <w:rsid w:val="00677AEC"/>
    <w:rsid w:val="006817F5"/>
    <w:rsid w:val="0068208A"/>
    <w:rsid w:val="00682515"/>
    <w:rsid w:val="00683744"/>
    <w:rsid w:val="00683FCD"/>
    <w:rsid w:val="00686056"/>
    <w:rsid w:val="00690D55"/>
    <w:rsid w:val="00694F48"/>
    <w:rsid w:val="0069524A"/>
    <w:rsid w:val="0069546F"/>
    <w:rsid w:val="00695757"/>
    <w:rsid w:val="006957C5"/>
    <w:rsid w:val="00696706"/>
    <w:rsid w:val="006A03D1"/>
    <w:rsid w:val="006A0442"/>
    <w:rsid w:val="006A1DBA"/>
    <w:rsid w:val="006A3C55"/>
    <w:rsid w:val="006A473D"/>
    <w:rsid w:val="006A632A"/>
    <w:rsid w:val="006A7425"/>
    <w:rsid w:val="006B0513"/>
    <w:rsid w:val="006B0A7A"/>
    <w:rsid w:val="006B0E68"/>
    <w:rsid w:val="006B1219"/>
    <w:rsid w:val="006B16E0"/>
    <w:rsid w:val="006B1AAA"/>
    <w:rsid w:val="006B214F"/>
    <w:rsid w:val="006B30D1"/>
    <w:rsid w:val="006B3976"/>
    <w:rsid w:val="006B4816"/>
    <w:rsid w:val="006B5CCD"/>
    <w:rsid w:val="006B691F"/>
    <w:rsid w:val="006B706D"/>
    <w:rsid w:val="006B7312"/>
    <w:rsid w:val="006C2305"/>
    <w:rsid w:val="006C3381"/>
    <w:rsid w:val="006C536B"/>
    <w:rsid w:val="006C5A44"/>
    <w:rsid w:val="006C5AD3"/>
    <w:rsid w:val="006C5B45"/>
    <w:rsid w:val="006C5D97"/>
    <w:rsid w:val="006C617F"/>
    <w:rsid w:val="006C64CA"/>
    <w:rsid w:val="006C66FD"/>
    <w:rsid w:val="006C70E0"/>
    <w:rsid w:val="006C78B0"/>
    <w:rsid w:val="006D0539"/>
    <w:rsid w:val="006D0F81"/>
    <w:rsid w:val="006D21DD"/>
    <w:rsid w:val="006D247E"/>
    <w:rsid w:val="006D39B9"/>
    <w:rsid w:val="006D40C7"/>
    <w:rsid w:val="006D50CD"/>
    <w:rsid w:val="006D5518"/>
    <w:rsid w:val="006D597A"/>
    <w:rsid w:val="006D5EBE"/>
    <w:rsid w:val="006D6A17"/>
    <w:rsid w:val="006D6ABC"/>
    <w:rsid w:val="006D6DED"/>
    <w:rsid w:val="006E0834"/>
    <w:rsid w:val="006E1E4D"/>
    <w:rsid w:val="006E2D5D"/>
    <w:rsid w:val="006E2E14"/>
    <w:rsid w:val="006E2F3E"/>
    <w:rsid w:val="006E516E"/>
    <w:rsid w:val="006E6303"/>
    <w:rsid w:val="006E65F9"/>
    <w:rsid w:val="006E7E2B"/>
    <w:rsid w:val="006F017C"/>
    <w:rsid w:val="006F0E9C"/>
    <w:rsid w:val="006F1A2E"/>
    <w:rsid w:val="006F3817"/>
    <w:rsid w:val="006F39D8"/>
    <w:rsid w:val="006F3B8F"/>
    <w:rsid w:val="006F3F2D"/>
    <w:rsid w:val="006F6CEA"/>
    <w:rsid w:val="006F7930"/>
    <w:rsid w:val="006F7B14"/>
    <w:rsid w:val="006F7CF1"/>
    <w:rsid w:val="006F7D52"/>
    <w:rsid w:val="007016CA"/>
    <w:rsid w:val="00702722"/>
    <w:rsid w:val="00702AA8"/>
    <w:rsid w:val="00702B00"/>
    <w:rsid w:val="00705385"/>
    <w:rsid w:val="007054FA"/>
    <w:rsid w:val="00705766"/>
    <w:rsid w:val="0070607F"/>
    <w:rsid w:val="007063C7"/>
    <w:rsid w:val="00707DDD"/>
    <w:rsid w:val="00710200"/>
    <w:rsid w:val="007110CE"/>
    <w:rsid w:val="0071221A"/>
    <w:rsid w:val="007138BA"/>
    <w:rsid w:val="0071596E"/>
    <w:rsid w:val="00715D0C"/>
    <w:rsid w:val="007172D9"/>
    <w:rsid w:val="00720888"/>
    <w:rsid w:val="0072138D"/>
    <w:rsid w:val="00721F6A"/>
    <w:rsid w:val="00722774"/>
    <w:rsid w:val="00724A65"/>
    <w:rsid w:val="007258FD"/>
    <w:rsid w:val="007268B1"/>
    <w:rsid w:val="0072705C"/>
    <w:rsid w:val="0072746D"/>
    <w:rsid w:val="00730BB7"/>
    <w:rsid w:val="00730E93"/>
    <w:rsid w:val="00730FC4"/>
    <w:rsid w:val="007312AA"/>
    <w:rsid w:val="0073187B"/>
    <w:rsid w:val="00731907"/>
    <w:rsid w:val="00732A72"/>
    <w:rsid w:val="007346BD"/>
    <w:rsid w:val="00734C1B"/>
    <w:rsid w:val="00735265"/>
    <w:rsid w:val="00735488"/>
    <w:rsid w:val="00735C85"/>
    <w:rsid w:val="00736111"/>
    <w:rsid w:val="00740D34"/>
    <w:rsid w:val="00742613"/>
    <w:rsid w:val="00742DE7"/>
    <w:rsid w:val="007449AB"/>
    <w:rsid w:val="00745992"/>
    <w:rsid w:val="0074641C"/>
    <w:rsid w:val="00746AD8"/>
    <w:rsid w:val="00747BC4"/>
    <w:rsid w:val="007516F0"/>
    <w:rsid w:val="00751776"/>
    <w:rsid w:val="00751C7B"/>
    <w:rsid w:val="0075253D"/>
    <w:rsid w:val="00753A99"/>
    <w:rsid w:val="00753AC2"/>
    <w:rsid w:val="007550AB"/>
    <w:rsid w:val="00760E32"/>
    <w:rsid w:val="0076202A"/>
    <w:rsid w:val="00763257"/>
    <w:rsid w:val="0076416C"/>
    <w:rsid w:val="007653DA"/>
    <w:rsid w:val="00765F6B"/>
    <w:rsid w:val="0076614E"/>
    <w:rsid w:val="00767772"/>
    <w:rsid w:val="00767AE2"/>
    <w:rsid w:val="00767CB7"/>
    <w:rsid w:val="007705E4"/>
    <w:rsid w:val="007707E0"/>
    <w:rsid w:val="00770BBC"/>
    <w:rsid w:val="00773725"/>
    <w:rsid w:val="00774C48"/>
    <w:rsid w:val="007756BE"/>
    <w:rsid w:val="00777405"/>
    <w:rsid w:val="00777BF5"/>
    <w:rsid w:val="00781672"/>
    <w:rsid w:val="00781C2A"/>
    <w:rsid w:val="007822D4"/>
    <w:rsid w:val="00782616"/>
    <w:rsid w:val="00782682"/>
    <w:rsid w:val="00782C4D"/>
    <w:rsid w:val="00784221"/>
    <w:rsid w:val="00784A8C"/>
    <w:rsid w:val="00784CF9"/>
    <w:rsid w:val="007855B7"/>
    <w:rsid w:val="007870DE"/>
    <w:rsid w:val="00787E48"/>
    <w:rsid w:val="00790C6B"/>
    <w:rsid w:val="00792CC9"/>
    <w:rsid w:val="0079305A"/>
    <w:rsid w:val="00793689"/>
    <w:rsid w:val="0079407E"/>
    <w:rsid w:val="007954B6"/>
    <w:rsid w:val="00796AF7"/>
    <w:rsid w:val="00796DC2"/>
    <w:rsid w:val="007970FD"/>
    <w:rsid w:val="007A1421"/>
    <w:rsid w:val="007A52B5"/>
    <w:rsid w:val="007A5D54"/>
    <w:rsid w:val="007A609F"/>
    <w:rsid w:val="007A669A"/>
    <w:rsid w:val="007A6B06"/>
    <w:rsid w:val="007A732B"/>
    <w:rsid w:val="007A74A2"/>
    <w:rsid w:val="007B0AE3"/>
    <w:rsid w:val="007B14E7"/>
    <w:rsid w:val="007B178A"/>
    <w:rsid w:val="007B185A"/>
    <w:rsid w:val="007B29C4"/>
    <w:rsid w:val="007B2FB1"/>
    <w:rsid w:val="007B313A"/>
    <w:rsid w:val="007B512D"/>
    <w:rsid w:val="007B5DDC"/>
    <w:rsid w:val="007B6BE5"/>
    <w:rsid w:val="007B7815"/>
    <w:rsid w:val="007B7D58"/>
    <w:rsid w:val="007C008A"/>
    <w:rsid w:val="007C0212"/>
    <w:rsid w:val="007C19B8"/>
    <w:rsid w:val="007C20D2"/>
    <w:rsid w:val="007C344C"/>
    <w:rsid w:val="007C36D6"/>
    <w:rsid w:val="007C4C22"/>
    <w:rsid w:val="007C553C"/>
    <w:rsid w:val="007C70AB"/>
    <w:rsid w:val="007C7944"/>
    <w:rsid w:val="007C7A14"/>
    <w:rsid w:val="007C7C55"/>
    <w:rsid w:val="007D0DF6"/>
    <w:rsid w:val="007D1B5B"/>
    <w:rsid w:val="007D1E1A"/>
    <w:rsid w:val="007D20BE"/>
    <w:rsid w:val="007D2423"/>
    <w:rsid w:val="007D3157"/>
    <w:rsid w:val="007D3497"/>
    <w:rsid w:val="007D4FB6"/>
    <w:rsid w:val="007E03C0"/>
    <w:rsid w:val="007E0B62"/>
    <w:rsid w:val="007E105B"/>
    <w:rsid w:val="007E1309"/>
    <w:rsid w:val="007E2034"/>
    <w:rsid w:val="007E2836"/>
    <w:rsid w:val="007E2892"/>
    <w:rsid w:val="007E3976"/>
    <w:rsid w:val="007E3B6C"/>
    <w:rsid w:val="007E4E4E"/>
    <w:rsid w:val="007E568A"/>
    <w:rsid w:val="007E59BB"/>
    <w:rsid w:val="007E682D"/>
    <w:rsid w:val="007E6972"/>
    <w:rsid w:val="007E78BA"/>
    <w:rsid w:val="007F0D03"/>
    <w:rsid w:val="007F0E38"/>
    <w:rsid w:val="007F10F9"/>
    <w:rsid w:val="007F1BC4"/>
    <w:rsid w:val="007F1E78"/>
    <w:rsid w:val="007F2457"/>
    <w:rsid w:val="007F2FD1"/>
    <w:rsid w:val="007F43DD"/>
    <w:rsid w:val="007F4828"/>
    <w:rsid w:val="007F4E9D"/>
    <w:rsid w:val="007F6207"/>
    <w:rsid w:val="007F6BAA"/>
    <w:rsid w:val="007F6D30"/>
    <w:rsid w:val="007F6D5F"/>
    <w:rsid w:val="007F6D78"/>
    <w:rsid w:val="007F7637"/>
    <w:rsid w:val="007F790D"/>
    <w:rsid w:val="008006BE"/>
    <w:rsid w:val="008007CC"/>
    <w:rsid w:val="008017C0"/>
    <w:rsid w:val="0080397A"/>
    <w:rsid w:val="0080516F"/>
    <w:rsid w:val="008066B3"/>
    <w:rsid w:val="00807054"/>
    <w:rsid w:val="0080728A"/>
    <w:rsid w:val="0080772A"/>
    <w:rsid w:val="00807ED0"/>
    <w:rsid w:val="0081147A"/>
    <w:rsid w:val="00812471"/>
    <w:rsid w:val="00813DBC"/>
    <w:rsid w:val="00813F7A"/>
    <w:rsid w:val="008140CE"/>
    <w:rsid w:val="00814302"/>
    <w:rsid w:val="008149F2"/>
    <w:rsid w:val="0081745B"/>
    <w:rsid w:val="00817C39"/>
    <w:rsid w:val="00821345"/>
    <w:rsid w:val="00821C96"/>
    <w:rsid w:val="00821F18"/>
    <w:rsid w:val="00822995"/>
    <w:rsid w:val="00822FC7"/>
    <w:rsid w:val="008231F3"/>
    <w:rsid w:val="008251E0"/>
    <w:rsid w:val="0082537B"/>
    <w:rsid w:val="008257DA"/>
    <w:rsid w:val="00826140"/>
    <w:rsid w:val="008271A0"/>
    <w:rsid w:val="00830995"/>
    <w:rsid w:val="00831136"/>
    <w:rsid w:val="00831AEC"/>
    <w:rsid w:val="0083280D"/>
    <w:rsid w:val="0083292E"/>
    <w:rsid w:val="008334D3"/>
    <w:rsid w:val="00833A1D"/>
    <w:rsid w:val="008342D2"/>
    <w:rsid w:val="00835877"/>
    <w:rsid w:val="00835ADB"/>
    <w:rsid w:val="00836694"/>
    <w:rsid w:val="00836E25"/>
    <w:rsid w:val="00836EA4"/>
    <w:rsid w:val="008370E4"/>
    <w:rsid w:val="0083739B"/>
    <w:rsid w:val="00841A66"/>
    <w:rsid w:val="00842B01"/>
    <w:rsid w:val="00843688"/>
    <w:rsid w:val="0084467C"/>
    <w:rsid w:val="008455D3"/>
    <w:rsid w:val="00845CDB"/>
    <w:rsid w:val="008471CE"/>
    <w:rsid w:val="0084775B"/>
    <w:rsid w:val="00847D26"/>
    <w:rsid w:val="00851E9B"/>
    <w:rsid w:val="00852259"/>
    <w:rsid w:val="00852F14"/>
    <w:rsid w:val="008538C3"/>
    <w:rsid w:val="00853CC5"/>
    <w:rsid w:val="008543EB"/>
    <w:rsid w:val="008564AF"/>
    <w:rsid w:val="00856A0E"/>
    <w:rsid w:val="00857C14"/>
    <w:rsid w:val="00861080"/>
    <w:rsid w:val="00862783"/>
    <w:rsid w:val="00862DC9"/>
    <w:rsid w:val="0086305F"/>
    <w:rsid w:val="008631CE"/>
    <w:rsid w:val="0086366A"/>
    <w:rsid w:val="0086443E"/>
    <w:rsid w:val="00867DED"/>
    <w:rsid w:val="00870FF3"/>
    <w:rsid w:val="0087137B"/>
    <w:rsid w:val="00871AA8"/>
    <w:rsid w:val="008727D1"/>
    <w:rsid w:val="00872FD2"/>
    <w:rsid w:val="0087372A"/>
    <w:rsid w:val="00873791"/>
    <w:rsid w:val="00873D35"/>
    <w:rsid w:val="00874DC5"/>
    <w:rsid w:val="00875C0D"/>
    <w:rsid w:val="00876869"/>
    <w:rsid w:val="00877723"/>
    <w:rsid w:val="00880C50"/>
    <w:rsid w:val="00882D6C"/>
    <w:rsid w:val="00884FF1"/>
    <w:rsid w:val="00887293"/>
    <w:rsid w:val="008908ED"/>
    <w:rsid w:val="00890E2E"/>
    <w:rsid w:val="0089147A"/>
    <w:rsid w:val="00892A24"/>
    <w:rsid w:val="00893090"/>
    <w:rsid w:val="00893540"/>
    <w:rsid w:val="008945DF"/>
    <w:rsid w:val="00894EAB"/>
    <w:rsid w:val="00894F9A"/>
    <w:rsid w:val="00896BD0"/>
    <w:rsid w:val="00896FC0"/>
    <w:rsid w:val="0089779A"/>
    <w:rsid w:val="008A0275"/>
    <w:rsid w:val="008A10DB"/>
    <w:rsid w:val="008A11E3"/>
    <w:rsid w:val="008A1692"/>
    <w:rsid w:val="008A19FC"/>
    <w:rsid w:val="008A1E3D"/>
    <w:rsid w:val="008A1EFB"/>
    <w:rsid w:val="008A27C3"/>
    <w:rsid w:val="008A304F"/>
    <w:rsid w:val="008A3398"/>
    <w:rsid w:val="008A36D6"/>
    <w:rsid w:val="008A3AA1"/>
    <w:rsid w:val="008A3EE0"/>
    <w:rsid w:val="008A4EBF"/>
    <w:rsid w:val="008A569C"/>
    <w:rsid w:val="008A58E2"/>
    <w:rsid w:val="008A5909"/>
    <w:rsid w:val="008A7ADB"/>
    <w:rsid w:val="008B0B6C"/>
    <w:rsid w:val="008B0DA6"/>
    <w:rsid w:val="008B1E74"/>
    <w:rsid w:val="008B26FD"/>
    <w:rsid w:val="008B2855"/>
    <w:rsid w:val="008B2E86"/>
    <w:rsid w:val="008B38F1"/>
    <w:rsid w:val="008B49EC"/>
    <w:rsid w:val="008B6DE4"/>
    <w:rsid w:val="008B6E8E"/>
    <w:rsid w:val="008C0A37"/>
    <w:rsid w:val="008C0EAA"/>
    <w:rsid w:val="008C0FEB"/>
    <w:rsid w:val="008C1810"/>
    <w:rsid w:val="008C202A"/>
    <w:rsid w:val="008C287A"/>
    <w:rsid w:val="008C2959"/>
    <w:rsid w:val="008C5A91"/>
    <w:rsid w:val="008C60BE"/>
    <w:rsid w:val="008D2058"/>
    <w:rsid w:val="008D37B2"/>
    <w:rsid w:val="008D3DED"/>
    <w:rsid w:val="008D44E8"/>
    <w:rsid w:val="008D4D88"/>
    <w:rsid w:val="008D6D83"/>
    <w:rsid w:val="008D7752"/>
    <w:rsid w:val="008E05F2"/>
    <w:rsid w:val="008E14B6"/>
    <w:rsid w:val="008E2765"/>
    <w:rsid w:val="008E3371"/>
    <w:rsid w:val="008E3A59"/>
    <w:rsid w:val="008E3CBA"/>
    <w:rsid w:val="008E3F12"/>
    <w:rsid w:val="008E404B"/>
    <w:rsid w:val="008E51A0"/>
    <w:rsid w:val="008E532D"/>
    <w:rsid w:val="008E5663"/>
    <w:rsid w:val="008E5893"/>
    <w:rsid w:val="008E5A5D"/>
    <w:rsid w:val="008E5BE7"/>
    <w:rsid w:val="008E7935"/>
    <w:rsid w:val="008E7B8E"/>
    <w:rsid w:val="008E7ED3"/>
    <w:rsid w:val="008F006D"/>
    <w:rsid w:val="008F4BF8"/>
    <w:rsid w:val="008F5508"/>
    <w:rsid w:val="008F583B"/>
    <w:rsid w:val="008F73A7"/>
    <w:rsid w:val="008F7911"/>
    <w:rsid w:val="008F7CA8"/>
    <w:rsid w:val="009000D1"/>
    <w:rsid w:val="00900AA4"/>
    <w:rsid w:val="009016EA"/>
    <w:rsid w:val="00902505"/>
    <w:rsid w:val="00903814"/>
    <w:rsid w:val="00903ACC"/>
    <w:rsid w:val="00903D6C"/>
    <w:rsid w:val="00904097"/>
    <w:rsid w:val="00904FCA"/>
    <w:rsid w:val="009053F7"/>
    <w:rsid w:val="00905422"/>
    <w:rsid w:val="00906045"/>
    <w:rsid w:val="0090652D"/>
    <w:rsid w:val="00906D47"/>
    <w:rsid w:val="0090720C"/>
    <w:rsid w:val="0090734B"/>
    <w:rsid w:val="0091141A"/>
    <w:rsid w:val="00911C2E"/>
    <w:rsid w:val="00914DB6"/>
    <w:rsid w:val="00920B02"/>
    <w:rsid w:val="00920F6E"/>
    <w:rsid w:val="009212E6"/>
    <w:rsid w:val="00921718"/>
    <w:rsid w:val="00921C37"/>
    <w:rsid w:val="00925655"/>
    <w:rsid w:val="00926444"/>
    <w:rsid w:val="00927284"/>
    <w:rsid w:val="009277DF"/>
    <w:rsid w:val="00930258"/>
    <w:rsid w:val="009307A0"/>
    <w:rsid w:val="00930A39"/>
    <w:rsid w:val="00931005"/>
    <w:rsid w:val="00932098"/>
    <w:rsid w:val="00932BC9"/>
    <w:rsid w:val="00932DD2"/>
    <w:rsid w:val="00934508"/>
    <w:rsid w:val="009350F0"/>
    <w:rsid w:val="009356DB"/>
    <w:rsid w:val="00935E3C"/>
    <w:rsid w:val="00936D9D"/>
    <w:rsid w:val="00936F48"/>
    <w:rsid w:val="0093715A"/>
    <w:rsid w:val="009376DD"/>
    <w:rsid w:val="009377BB"/>
    <w:rsid w:val="00940ACB"/>
    <w:rsid w:val="009414AC"/>
    <w:rsid w:val="009419A4"/>
    <w:rsid w:val="00941B04"/>
    <w:rsid w:val="0094215A"/>
    <w:rsid w:val="00942335"/>
    <w:rsid w:val="00942399"/>
    <w:rsid w:val="00942975"/>
    <w:rsid w:val="00945C23"/>
    <w:rsid w:val="009460A7"/>
    <w:rsid w:val="009464F8"/>
    <w:rsid w:val="00946B05"/>
    <w:rsid w:val="00947E51"/>
    <w:rsid w:val="00947F4C"/>
    <w:rsid w:val="00950C2C"/>
    <w:rsid w:val="00950CE3"/>
    <w:rsid w:val="009531D9"/>
    <w:rsid w:val="0095482A"/>
    <w:rsid w:val="00954A76"/>
    <w:rsid w:val="00954E3C"/>
    <w:rsid w:val="00954ECD"/>
    <w:rsid w:val="00956085"/>
    <w:rsid w:val="00957BA0"/>
    <w:rsid w:val="009601AD"/>
    <w:rsid w:val="00960749"/>
    <w:rsid w:val="00960982"/>
    <w:rsid w:val="00960AFA"/>
    <w:rsid w:val="00960E28"/>
    <w:rsid w:val="00961ABD"/>
    <w:rsid w:val="009620B4"/>
    <w:rsid w:val="00962FCF"/>
    <w:rsid w:val="00964183"/>
    <w:rsid w:val="00964B6A"/>
    <w:rsid w:val="0096546B"/>
    <w:rsid w:val="00966399"/>
    <w:rsid w:val="00967BF5"/>
    <w:rsid w:val="00971BB1"/>
    <w:rsid w:val="00972BD0"/>
    <w:rsid w:val="00972D6A"/>
    <w:rsid w:val="00974DBA"/>
    <w:rsid w:val="009752E7"/>
    <w:rsid w:val="009753F8"/>
    <w:rsid w:val="00976F45"/>
    <w:rsid w:val="009773D9"/>
    <w:rsid w:val="00977BEA"/>
    <w:rsid w:val="00980451"/>
    <w:rsid w:val="00982991"/>
    <w:rsid w:val="00982D08"/>
    <w:rsid w:val="00983933"/>
    <w:rsid w:val="00984223"/>
    <w:rsid w:val="00984FC0"/>
    <w:rsid w:val="009850ED"/>
    <w:rsid w:val="00986109"/>
    <w:rsid w:val="00986833"/>
    <w:rsid w:val="00991070"/>
    <w:rsid w:val="00991538"/>
    <w:rsid w:val="00991C09"/>
    <w:rsid w:val="009923D8"/>
    <w:rsid w:val="0099368F"/>
    <w:rsid w:val="0099372E"/>
    <w:rsid w:val="009939DF"/>
    <w:rsid w:val="00993F8B"/>
    <w:rsid w:val="00995104"/>
    <w:rsid w:val="0099517C"/>
    <w:rsid w:val="00997488"/>
    <w:rsid w:val="0099786B"/>
    <w:rsid w:val="009A0304"/>
    <w:rsid w:val="009A0464"/>
    <w:rsid w:val="009A076C"/>
    <w:rsid w:val="009A0DA9"/>
    <w:rsid w:val="009A2113"/>
    <w:rsid w:val="009A2265"/>
    <w:rsid w:val="009A2A94"/>
    <w:rsid w:val="009A44A5"/>
    <w:rsid w:val="009A4965"/>
    <w:rsid w:val="009A4B30"/>
    <w:rsid w:val="009A4D32"/>
    <w:rsid w:val="009A4F35"/>
    <w:rsid w:val="009A6514"/>
    <w:rsid w:val="009A6AAF"/>
    <w:rsid w:val="009A7624"/>
    <w:rsid w:val="009B0D28"/>
    <w:rsid w:val="009B139F"/>
    <w:rsid w:val="009B15CE"/>
    <w:rsid w:val="009B208A"/>
    <w:rsid w:val="009B20D7"/>
    <w:rsid w:val="009B2619"/>
    <w:rsid w:val="009B2853"/>
    <w:rsid w:val="009B2D95"/>
    <w:rsid w:val="009B2FE9"/>
    <w:rsid w:val="009B38C1"/>
    <w:rsid w:val="009B4C2B"/>
    <w:rsid w:val="009B5666"/>
    <w:rsid w:val="009B6D6E"/>
    <w:rsid w:val="009C044D"/>
    <w:rsid w:val="009C211B"/>
    <w:rsid w:val="009C377A"/>
    <w:rsid w:val="009C403B"/>
    <w:rsid w:val="009C4195"/>
    <w:rsid w:val="009C4627"/>
    <w:rsid w:val="009C4B29"/>
    <w:rsid w:val="009C4DF2"/>
    <w:rsid w:val="009C5109"/>
    <w:rsid w:val="009C6972"/>
    <w:rsid w:val="009C697A"/>
    <w:rsid w:val="009C6AB5"/>
    <w:rsid w:val="009D0083"/>
    <w:rsid w:val="009D040C"/>
    <w:rsid w:val="009D0541"/>
    <w:rsid w:val="009D0A71"/>
    <w:rsid w:val="009D0B18"/>
    <w:rsid w:val="009D3564"/>
    <w:rsid w:val="009D40FE"/>
    <w:rsid w:val="009D4A13"/>
    <w:rsid w:val="009D60B0"/>
    <w:rsid w:val="009D6900"/>
    <w:rsid w:val="009D6B5E"/>
    <w:rsid w:val="009D7536"/>
    <w:rsid w:val="009E006D"/>
    <w:rsid w:val="009E0A65"/>
    <w:rsid w:val="009E157C"/>
    <w:rsid w:val="009E276A"/>
    <w:rsid w:val="009E3D48"/>
    <w:rsid w:val="009E3F40"/>
    <w:rsid w:val="009E5122"/>
    <w:rsid w:val="009E5D36"/>
    <w:rsid w:val="009E715E"/>
    <w:rsid w:val="009E7AAD"/>
    <w:rsid w:val="009F0178"/>
    <w:rsid w:val="009F09CA"/>
    <w:rsid w:val="009F10EE"/>
    <w:rsid w:val="009F1D8C"/>
    <w:rsid w:val="009F2066"/>
    <w:rsid w:val="009F2873"/>
    <w:rsid w:val="009F36CE"/>
    <w:rsid w:val="009F3BCD"/>
    <w:rsid w:val="009F5328"/>
    <w:rsid w:val="009F5435"/>
    <w:rsid w:val="009F6C3F"/>
    <w:rsid w:val="009F6F83"/>
    <w:rsid w:val="009F7C63"/>
    <w:rsid w:val="009F7D34"/>
    <w:rsid w:val="00A0010E"/>
    <w:rsid w:val="00A030FF"/>
    <w:rsid w:val="00A058A5"/>
    <w:rsid w:val="00A061A1"/>
    <w:rsid w:val="00A063EE"/>
    <w:rsid w:val="00A0654B"/>
    <w:rsid w:val="00A065C9"/>
    <w:rsid w:val="00A06B6E"/>
    <w:rsid w:val="00A10FF7"/>
    <w:rsid w:val="00A1202D"/>
    <w:rsid w:val="00A12977"/>
    <w:rsid w:val="00A135DD"/>
    <w:rsid w:val="00A14806"/>
    <w:rsid w:val="00A151CF"/>
    <w:rsid w:val="00A161A4"/>
    <w:rsid w:val="00A165B6"/>
    <w:rsid w:val="00A17957"/>
    <w:rsid w:val="00A17F13"/>
    <w:rsid w:val="00A200A3"/>
    <w:rsid w:val="00A20CBD"/>
    <w:rsid w:val="00A20CF2"/>
    <w:rsid w:val="00A217FA"/>
    <w:rsid w:val="00A21EED"/>
    <w:rsid w:val="00A22C63"/>
    <w:rsid w:val="00A23C8E"/>
    <w:rsid w:val="00A23F94"/>
    <w:rsid w:val="00A305A6"/>
    <w:rsid w:val="00A31DF8"/>
    <w:rsid w:val="00A31FB9"/>
    <w:rsid w:val="00A32258"/>
    <w:rsid w:val="00A32267"/>
    <w:rsid w:val="00A32BE4"/>
    <w:rsid w:val="00A33333"/>
    <w:rsid w:val="00A336E2"/>
    <w:rsid w:val="00A33D2C"/>
    <w:rsid w:val="00A3454D"/>
    <w:rsid w:val="00A35089"/>
    <w:rsid w:val="00A353B2"/>
    <w:rsid w:val="00A35AD1"/>
    <w:rsid w:val="00A3624F"/>
    <w:rsid w:val="00A3685C"/>
    <w:rsid w:val="00A3718F"/>
    <w:rsid w:val="00A37554"/>
    <w:rsid w:val="00A41DE4"/>
    <w:rsid w:val="00A4326F"/>
    <w:rsid w:val="00A4364C"/>
    <w:rsid w:val="00A43737"/>
    <w:rsid w:val="00A43B3E"/>
    <w:rsid w:val="00A44B03"/>
    <w:rsid w:val="00A458E5"/>
    <w:rsid w:val="00A4772E"/>
    <w:rsid w:val="00A50977"/>
    <w:rsid w:val="00A51298"/>
    <w:rsid w:val="00A52362"/>
    <w:rsid w:val="00A53B65"/>
    <w:rsid w:val="00A53E1B"/>
    <w:rsid w:val="00A54396"/>
    <w:rsid w:val="00A54477"/>
    <w:rsid w:val="00A54A6C"/>
    <w:rsid w:val="00A55010"/>
    <w:rsid w:val="00A55F7C"/>
    <w:rsid w:val="00A579A7"/>
    <w:rsid w:val="00A60207"/>
    <w:rsid w:val="00A6043D"/>
    <w:rsid w:val="00A61A77"/>
    <w:rsid w:val="00A62538"/>
    <w:rsid w:val="00A64078"/>
    <w:rsid w:val="00A641C9"/>
    <w:rsid w:val="00A648C0"/>
    <w:rsid w:val="00A659E1"/>
    <w:rsid w:val="00A669F8"/>
    <w:rsid w:val="00A67851"/>
    <w:rsid w:val="00A7058C"/>
    <w:rsid w:val="00A70934"/>
    <w:rsid w:val="00A70C52"/>
    <w:rsid w:val="00A71F85"/>
    <w:rsid w:val="00A7220A"/>
    <w:rsid w:val="00A74DAB"/>
    <w:rsid w:val="00A75405"/>
    <w:rsid w:val="00A7553A"/>
    <w:rsid w:val="00A80138"/>
    <w:rsid w:val="00A804C0"/>
    <w:rsid w:val="00A80E26"/>
    <w:rsid w:val="00A82028"/>
    <w:rsid w:val="00A825AC"/>
    <w:rsid w:val="00A82B52"/>
    <w:rsid w:val="00A84C06"/>
    <w:rsid w:val="00A85445"/>
    <w:rsid w:val="00A85B11"/>
    <w:rsid w:val="00A86EA9"/>
    <w:rsid w:val="00A86EB9"/>
    <w:rsid w:val="00A87441"/>
    <w:rsid w:val="00A87E4E"/>
    <w:rsid w:val="00A900CC"/>
    <w:rsid w:val="00A9095F"/>
    <w:rsid w:val="00A914A0"/>
    <w:rsid w:val="00A91C1C"/>
    <w:rsid w:val="00A922F7"/>
    <w:rsid w:val="00A925A2"/>
    <w:rsid w:val="00A9265F"/>
    <w:rsid w:val="00A938BE"/>
    <w:rsid w:val="00A940E1"/>
    <w:rsid w:val="00A949CE"/>
    <w:rsid w:val="00A9548E"/>
    <w:rsid w:val="00A96788"/>
    <w:rsid w:val="00A9696A"/>
    <w:rsid w:val="00A97605"/>
    <w:rsid w:val="00A97EDE"/>
    <w:rsid w:val="00AA0F7E"/>
    <w:rsid w:val="00AA2BF3"/>
    <w:rsid w:val="00AA2C13"/>
    <w:rsid w:val="00AA3105"/>
    <w:rsid w:val="00AA32E0"/>
    <w:rsid w:val="00AA34E3"/>
    <w:rsid w:val="00AA3D0B"/>
    <w:rsid w:val="00AA4DE9"/>
    <w:rsid w:val="00AA51C2"/>
    <w:rsid w:val="00AA53CA"/>
    <w:rsid w:val="00AA5B33"/>
    <w:rsid w:val="00AA62F6"/>
    <w:rsid w:val="00AA7CDC"/>
    <w:rsid w:val="00AB0170"/>
    <w:rsid w:val="00AB1162"/>
    <w:rsid w:val="00AB209E"/>
    <w:rsid w:val="00AB2B91"/>
    <w:rsid w:val="00AB2FD0"/>
    <w:rsid w:val="00AB32A9"/>
    <w:rsid w:val="00AB3DD5"/>
    <w:rsid w:val="00AB508B"/>
    <w:rsid w:val="00AB53A0"/>
    <w:rsid w:val="00AB5DF8"/>
    <w:rsid w:val="00AB6D6C"/>
    <w:rsid w:val="00AB7DE5"/>
    <w:rsid w:val="00AC02AA"/>
    <w:rsid w:val="00AC056A"/>
    <w:rsid w:val="00AC1D94"/>
    <w:rsid w:val="00AC2081"/>
    <w:rsid w:val="00AC2A38"/>
    <w:rsid w:val="00AC3633"/>
    <w:rsid w:val="00AC3B09"/>
    <w:rsid w:val="00AC3F9A"/>
    <w:rsid w:val="00AC4769"/>
    <w:rsid w:val="00AC5CAB"/>
    <w:rsid w:val="00AC72EC"/>
    <w:rsid w:val="00AC76F7"/>
    <w:rsid w:val="00AC7CB5"/>
    <w:rsid w:val="00AD0843"/>
    <w:rsid w:val="00AD0D38"/>
    <w:rsid w:val="00AD2E61"/>
    <w:rsid w:val="00AD40BC"/>
    <w:rsid w:val="00AD478F"/>
    <w:rsid w:val="00AD497B"/>
    <w:rsid w:val="00AD7A6B"/>
    <w:rsid w:val="00AE06EE"/>
    <w:rsid w:val="00AE0DF1"/>
    <w:rsid w:val="00AE0FC7"/>
    <w:rsid w:val="00AE199F"/>
    <w:rsid w:val="00AE1A90"/>
    <w:rsid w:val="00AE1C08"/>
    <w:rsid w:val="00AE4208"/>
    <w:rsid w:val="00AE47C9"/>
    <w:rsid w:val="00AE5A91"/>
    <w:rsid w:val="00AE5B89"/>
    <w:rsid w:val="00AE63D1"/>
    <w:rsid w:val="00AE6C40"/>
    <w:rsid w:val="00AE710A"/>
    <w:rsid w:val="00AF0313"/>
    <w:rsid w:val="00AF07B0"/>
    <w:rsid w:val="00AF2A88"/>
    <w:rsid w:val="00AF316A"/>
    <w:rsid w:val="00AF396B"/>
    <w:rsid w:val="00AF3DF0"/>
    <w:rsid w:val="00AF58F3"/>
    <w:rsid w:val="00AF6200"/>
    <w:rsid w:val="00AF7158"/>
    <w:rsid w:val="00B020E4"/>
    <w:rsid w:val="00B03682"/>
    <w:rsid w:val="00B0555A"/>
    <w:rsid w:val="00B05A2B"/>
    <w:rsid w:val="00B0660D"/>
    <w:rsid w:val="00B075B5"/>
    <w:rsid w:val="00B07658"/>
    <w:rsid w:val="00B10784"/>
    <w:rsid w:val="00B12587"/>
    <w:rsid w:val="00B13095"/>
    <w:rsid w:val="00B135B0"/>
    <w:rsid w:val="00B1534B"/>
    <w:rsid w:val="00B15422"/>
    <w:rsid w:val="00B16463"/>
    <w:rsid w:val="00B16C34"/>
    <w:rsid w:val="00B16CB1"/>
    <w:rsid w:val="00B176C3"/>
    <w:rsid w:val="00B2017A"/>
    <w:rsid w:val="00B20C0D"/>
    <w:rsid w:val="00B23B37"/>
    <w:rsid w:val="00B2433A"/>
    <w:rsid w:val="00B253A1"/>
    <w:rsid w:val="00B25938"/>
    <w:rsid w:val="00B2623B"/>
    <w:rsid w:val="00B26253"/>
    <w:rsid w:val="00B262AB"/>
    <w:rsid w:val="00B26AB7"/>
    <w:rsid w:val="00B26BBC"/>
    <w:rsid w:val="00B272C6"/>
    <w:rsid w:val="00B326B2"/>
    <w:rsid w:val="00B32A6F"/>
    <w:rsid w:val="00B3340D"/>
    <w:rsid w:val="00B33CB7"/>
    <w:rsid w:val="00B33EC8"/>
    <w:rsid w:val="00B34B5F"/>
    <w:rsid w:val="00B34FDD"/>
    <w:rsid w:val="00B35144"/>
    <w:rsid w:val="00B352FA"/>
    <w:rsid w:val="00B3654A"/>
    <w:rsid w:val="00B366E0"/>
    <w:rsid w:val="00B36B5C"/>
    <w:rsid w:val="00B36D31"/>
    <w:rsid w:val="00B37D49"/>
    <w:rsid w:val="00B40346"/>
    <w:rsid w:val="00B41EC6"/>
    <w:rsid w:val="00B4280B"/>
    <w:rsid w:val="00B4486A"/>
    <w:rsid w:val="00B45D2C"/>
    <w:rsid w:val="00B460F4"/>
    <w:rsid w:val="00B46334"/>
    <w:rsid w:val="00B46969"/>
    <w:rsid w:val="00B47A1D"/>
    <w:rsid w:val="00B50108"/>
    <w:rsid w:val="00B504B3"/>
    <w:rsid w:val="00B52873"/>
    <w:rsid w:val="00B52D18"/>
    <w:rsid w:val="00B52E25"/>
    <w:rsid w:val="00B57F8D"/>
    <w:rsid w:val="00B617CD"/>
    <w:rsid w:val="00B61916"/>
    <w:rsid w:val="00B6236B"/>
    <w:rsid w:val="00B6373A"/>
    <w:rsid w:val="00B63835"/>
    <w:rsid w:val="00B63875"/>
    <w:rsid w:val="00B6429F"/>
    <w:rsid w:val="00B64726"/>
    <w:rsid w:val="00B64D91"/>
    <w:rsid w:val="00B6505D"/>
    <w:rsid w:val="00B6525D"/>
    <w:rsid w:val="00B65B60"/>
    <w:rsid w:val="00B704B2"/>
    <w:rsid w:val="00B7073C"/>
    <w:rsid w:val="00B709C5"/>
    <w:rsid w:val="00B7184D"/>
    <w:rsid w:val="00B71F35"/>
    <w:rsid w:val="00B73E49"/>
    <w:rsid w:val="00B7421D"/>
    <w:rsid w:val="00B753EB"/>
    <w:rsid w:val="00B769D8"/>
    <w:rsid w:val="00B76AF5"/>
    <w:rsid w:val="00B76BAD"/>
    <w:rsid w:val="00B76C62"/>
    <w:rsid w:val="00B77AC9"/>
    <w:rsid w:val="00B805E0"/>
    <w:rsid w:val="00B81907"/>
    <w:rsid w:val="00B82116"/>
    <w:rsid w:val="00B82189"/>
    <w:rsid w:val="00B83609"/>
    <w:rsid w:val="00B83A09"/>
    <w:rsid w:val="00B8428D"/>
    <w:rsid w:val="00B84891"/>
    <w:rsid w:val="00B86A6F"/>
    <w:rsid w:val="00B86EBE"/>
    <w:rsid w:val="00B8742D"/>
    <w:rsid w:val="00B90E55"/>
    <w:rsid w:val="00B91816"/>
    <w:rsid w:val="00B94848"/>
    <w:rsid w:val="00B955FF"/>
    <w:rsid w:val="00B962CB"/>
    <w:rsid w:val="00BA0791"/>
    <w:rsid w:val="00BA1070"/>
    <w:rsid w:val="00BA1EDA"/>
    <w:rsid w:val="00BA2281"/>
    <w:rsid w:val="00BA49BA"/>
    <w:rsid w:val="00BA5400"/>
    <w:rsid w:val="00BA6155"/>
    <w:rsid w:val="00BA7DE0"/>
    <w:rsid w:val="00BA7FD6"/>
    <w:rsid w:val="00BB023C"/>
    <w:rsid w:val="00BB067C"/>
    <w:rsid w:val="00BB0A72"/>
    <w:rsid w:val="00BB0E5D"/>
    <w:rsid w:val="00BB0F95"/>
    <w:rsid w:val="00BB1BDF"/>
    <w:rsid w:val="00BB1C2A"/>
    <w:rsid w:val="00BB30FB"/>
    <w:rsid w:val="00BB6B97"/>
    <w:rsid w:val="00BB6CB3"/>
    <w:rsid w:val="00BB722A"/>
    <w:rsid w:val="00BC0047"/>
    <w:rsid w:val="00BC097C"/>
    <w:rsid w:val="00BC12A9"/>
    <w:rsid w:val="00BC1E91"/>
    <w:rsid w:val="00BC266F"/>
    <w:rsid w:val="00BC3ACB"/>
    <w:rsid w:val="00BC3D8C"/>
    <w:rsid w:val="00BC3FD3"/>
    <w:rsid w:val="00BC6788"/>
    <w:rsid w:val="00BC6999"/>
    <w:rsid w:val="00BD1701"/>
    <w:rsid w:val="00BD25CE"/>
    <w:rsid w:val="00BD461A"/>
    <w:rsid w:val="00BD48E6"/>
    <w:rsid w:val="00BD4923"/>
    <w:rsid w:val="00BD619E"/>
    <w:rsid w:val="00BD61C8"/>
    <w:rsid w:val="00BD6F72"/>
    <w:rsid w:val="00BD70BA"/>
    <w:rsid w:val="00BD70F3"/>
    <w:rsid w:val="00BD73C4"/>
    <w:rsid w:val="00BD7CE2"/>
    <w:rsid w:val="00BE045B"/>
    <w:rsid w:val="00BE0B37"/>
    <w:rsid w:val="00BE1746"/>
    <w:rsid w:val="00BE1DDE"/>
    <w:rsid w:val="00BE2300"/>
    <w:rsid w:val="00BE336B"/>
    <w:rsid w:val="00BE48D2"/>
    <w:rsid w:val="00BE5305"/>
    <w:rsid w:val="00BE743F"/>
    <w:rsid w:val="00BE7889"/>
    <w:rsid w:val="00BE7949"/>
    <w:rsid w:val="00BE7E62"/>
    <w:rsid w:val="00BF12C2"/>
    <w:rsid w:val="00BF2604"/>
    <w:rsid w:val="00BF381F"/>
    <w:rsid w:val="00BF56E2"/>
    <w:rsid w:val="00BF5B53"/>
    <w:rsid w:val="00BF6305"/>
    <w:rsid w:val="00BF66D2"/>
    <w:rsid w:val="00BF67EE"/>
    <w:rsid w:val="00BF75B9"/>
    <w:rsid w:val="00BF7E03"/>
    <w:rsid w:val="00C00514"/>
    <w:rsid w:val="00C01023"/>
    <w:rsid w:val="00C01054"/>
    <w:rsid w:val="00C021C4"/>
    <w:rsid w:val="00C02E3D"/>
    <w:rsid w:val="00C03125"/>
    <w:rsid w:val="00C03D68"/>
    <w:rsid w:val="00C04DCF"/>
    <w:rsid w:val="00C0532F"/>
    <w:rsid w:val="00C05E22"/>
    <w:rsid w:val="00C06177"/>
    <w:rsid w:val="00C070C8"/>
    <w:rsid w:val="00C075EA"/>
    <w:rsid w:val="00C10506"/>
    <w:rsid w:val="00C11B21"/>
    <w:rsid w:val="00C12D56"/>
    <w:rsid w:val="00C13E82"/>
    <w:rsid w:val="00C1462B"/>
    <w:rsid w:val="00C148F0"/>
    <w:rsid w:val="00C15072"/>
    <w:rsid w:val="00C158DA"/>
    <w:rsid w:val="00C15E51"/>
    <w:rsid w:val="00C1772D"/>
    <w:rsid w:val="00C177AC"/>
    <w:rsid w:val="00C21C00"/>
    <w:rsid w:val="00C21E13"/>
    <w:rsid w:val="00C22E72"/>
    <w:rsid w:val="00C2340A"/>
    <w:rsid w:val="00C235EB"/>
    <w:rsid w:val="00C23990"/>
    <w:rsid w:val="00C23F02"/>
    <w:rsid w:val="00C23FCD"/>
    <w:rsid w:val="00C2595D"/>
    <w:rsid w:val="00C25A51"/>
    <w:rsid w:val="00C25EC1"/>
    <w:rsid w:val="00C26565"/>
    <w:rsid w:val="00C27E4B"/>
    <w:rsid w:val="00C306A1"/>
    <w:rsid w:val="00C310DC"/>
    <w:rsid w:val="00C31FC3"/>
    <w:rsid w:val="00C320F6"/>
    <w:rsid w:val="00C33590"/>
    <w:rsid w:val="00C34C43"/>
    <w:rsid w:val="00C35212"/>
    <w:rsid w:val="00C355B5"/>
    <w:rsid w:val="00C36A1A"/>
    <w:rsid w:val="00C36F37"/>
    <w:rsid w:val="00C37028"/>
    <w:rsid w:val="00C41BEB"/>
    <w:rsid w:val="00C42CE5"/>
    <w:rsid w:val="00C42F4A"/>
    <w:rsid w:val="00C43581"/>
    <w:rsid w:val="00C43F50"/>
    <w:rsid w:val="00C442FF"/>
    <w:rsid w:val="00C44DF5"/>
    <w:rsid w:val="00C45392"/>
    <w:rsid w:val="00C45714"/>
    <w:rsid w:val="00C459B6"/>
    <w:rsid w:val="00C46E59"/>
    <w:rsid w:val="00C470E2"/>
    <w:rsid w:val="00C501AE"/>
    <w:rsid w:val="00C50509"/>
    <w:rsid w:val="00C505C4"/>
    <w:rsid w:val="00C50672"/>
    <w:rsid w:val="00C5067E"/>
    <w:rsid w:val="00C50A26"/>
    <w:rsid w:val="00C510AF"/>
    <w:rsid w:val="00C52484"/>
    <w:rsid w:val="00C53EA3"/>
    <w:rsid w:val="00C5406B"/>
    <w:rsid w:val="00C541D8"/>
    <w:rsid w:val="00C554A7"/>
    <w:rsid w:val="00C564A8"/>
    <w:rsid w:val="00C575BF"/>
    <w:rsid w:val="00C61AC6"/>
    <w:rsid w:val="00C65559"/>
    <w:rsid w:val="00C65E13"/>
    <w:rsid w:val="00C67678"/>
    <w:rsid w:val="00C67FC6"/>
    <w:rsid w:val="00C702C7"/>
    <w:rsid w:val="00C72ED5"/>
    <w:rsid w:val="00C7306B"/>
    <w:rsid w:val="00C7324C"/>
    <w:rsid w:val="00C7349E"/>
    <w:rsid w:val="00C7363E"/>
    <w:rsid w:val="00C7429C"/>
    <w:rsid w:val="00C74960"/>
    <w:rsid w:val="00C74AAD"/>
    <w:rsid w:val="00C74FBF"/>
    <w:rsid w:val="00C754E8"/>
    <w:rsid w:val="00C75AB5"/>
    <w:rsid w:val="00C76347"/>
    <w:rsid w:val="00C77252"/>
    <w:rsid w:val="00C80803"/>
    <w:rsid w:val="00C80D4B"/>
    <w:rsid w:val="00C811C9"/>
    <w:rsid w:val="00C81327"/>
    <w:rsid w:val="00C8225A"/>
    <w:rsid w:val="00C8404A"/>
    <w:rsid w:val="00C85F76"/>
    <w:rsid w:val="00C8703B"/>
    <w:rsid w:val="00C872DA"/>
    <w:rsid w:val="00C87848"/>
    <w:rsid w:val="00C92BCB"/>
    <w:rsid w:val="00C93543"/>
    <w:rsid w:val="00C94529"/>
    <w:rsid w:val="00C947BD"/>
    <w:rsid w:val="00C94C11"/>
    <w:rsid w:val="00C94C2E"/>
    <w:rsid w:val="00C957F3"/>
    <w:rsid w:val="00C9581A"/>
    <w:rsid w:val="00C97E0F"/>
    <w:rsid w:val="00CA0E13"/>
    <w:rsid w:val="00CA1544"/>
    <w:rsid w:val="00CA1609"/>
    <w:rsid w:val="00CA1A68"/>
    <w:rsid w:val="00CA1ADD"/>
    <w:rsid w:val="00CA1FF1"/>
    <w:rsid w:val="00CA2308"/>
    <w:rsid w:val="00CA255B"/>
    <w:rsid w:val="00CA3B0E"/>
    <w:rsid w:val="00CA4E63"/>
    <w:rsid w:val="00CA5B05"/>
    <w:rsid w:val="00CB0635"/>
    <w:rsid w:val="00CB7793"/>
    <w:rsid w:val="00CC0E29"/>
    <w:rsid w:val="00CC219D"/>
    <w:rsid w:val="00CC2A1A"/>
    <w:rsid w:val="00CC4EAB"/>
    <w:rsid w:val="00CC5E8F"/>
    <w:rsid w:val="00CC6923"/>
    <w:rsid w:val="00CC7CEB"/>
    <w:rsid w:val="00CD004C"/>
    <w:rsid w:val="00CD0286"/>
    <w:rsid w:val="00CD0E33"/>
    <w:rsid w:val="00CD1ABF"/>
    <w:rsid w:val="00CD2875"/>
    <w:rsid w:val="00CD2921"/>
    <w:rsid w:val="00CD2F15"/>
    <w:rsid w:val="00CD40B1"/>
    <w:rsid w:val="00CD43E8"/>
    <w:rsid w:val="00CD54D0"/>
    <w:rsid w:val="00CE0B08"/>
    <w:rsid w:val="00CE0C1D"/>
    <w:rsid w:val="00CE1D9F"/>
    <w:rsid w:val="00CE2070"/>
    <w:rsid w:val="00CE2332"/>
    <w:rsid w:val="00CE315D"/>
    <w:rsid w:val="00CE40A2"/>
    <w:rsid w:val="00CE60B2"/>
    <w:rsid w:val="00CE6620"/>
    <w:rsid w:val="00CE793B"/>
    <w:rsid w:val="00CF1368"/>
    <w:rsid w:val="00CF261E"/>
    <w:rsid w:val="00CF2756"/>
    <w:rsid w:val="00CF33DC"/>
    <w:rsid w:val="00CF3CA4"/>
    <w:rsid w:val="00CF57B4"/>
    <w:rsid w:val="00CF59BE"/>
    <w:rsid w:val="00CF68A0"/>
    <w:rsid w:val="00CF6A9F"/>
    <w:rsid w:val="00CF6DF8"/>
    <w:rsid w:val="00CF7F7F"/>
    <w:rsid w:val="00D0023B"/>
    <w:rsid w:val="00D006D4"/>
    <w:rsid w:val="00D01B07"/>
    <w:rsid w:val="00D02FD8"/>
    <w:rsid w:val="00D03E30"/>
    <w:rsid w:val="00D03E99"/>
    <w:rsid w:val="00D04BCF"/>
    <w:rsid w:val="00D04C5E"/>
    <w:rsid w:val="00D05681"/>
    <w:rsid w:val="00D06225"/>
    <w:rsid w:val="00D06ECA"/>
    <w:rsid w:val="00D07F79"/>
    <w:rsid w:val="00D10684"/>
    <w:rsid w:val="00D10DA7"/>
    <w:rsid w:val="00D125FB"/>
    <w:rsid w:val="00D15266"/>
    <w:rsid w:val="00D157A8"/>
    <w:rsid w:val="00D162D7"/>
    <w:rsid w:val="00D17C3A"/>
    <w:rsid w:val="00D17F72"/>
    <w:rsid w:val="00D207CC"/>
    <w:rsid w:val="00D236E8"/>
    <w:rsid w:val="00D2482E"/>
    <w:rsid w:val="00D248E4"/>
    <w:rsid w:val="00D255B9"/>
    <w:rsid w:val="00D2579D"/>
    <w:rsid w:val="00D2582E"/>
    <w:rsid w:val="00D25A09"/>
    <w:rsid w:val="00D25F80"/>
    <w:rsid w:val="00D26E49"/>
    <w:rsid w:val="00D27339"/>
    <w:rsid w:val="00D2754E"/>
    <w:rsid w:val="00D27B73"/>
    <w:rsid w:val="00D27D04"/>
    <w:rsid w:val="00D31665"/>
    <w:rsid w:val="00D31E92"/>
    <w:rsid w:val="00D32225"/>
    <w:rsid w:val="00D3289E"/>
    <w:rsid w:val="00D329DF"/>
    <w:rsid w:val="00D33A2B"/>
    <w:rsid w:val="00D342C1"/>
    <w:rsid w:val="00D3492A"/>
    <w:rsid w:val="00D35F9B"/>
    <w:rsid w:val="00D36E73"/>
    <w:rsid w:val="00D3758F"/>
    <w:rsid w:val="00D37B54"/>
    <w:rsid w:val="00D4019D"/>
    <w:rsid w:val="00D4264E"/>
    <w:rsid w:val="00D4280C"/>
    <w:rsid w:val="00D4344A"/>
    <w:rsid w:val="00D44AEE"/>
    <w:rsid w:val="00D44E12"/>
    <w:rsid w:val="00D4513C"/>
    <w:rsid w:val="00D46430"/>
    <w:rsid w:val="00D50727"/>
    <w:rsid w:val="00D52005"/>
    <w:rsid w:val="00D5254D"/>
    <w:rsid w:val="00D5297D"/>
    <w:rsid w:val="00D52A08"/>
    <w:rsid w:val="00D52A6A"/>
    <w:rsid w:val="00D52A8A"/>
    <w:rsid w:val="00D530B9"/>
    <w:rsid w:val="00D54031"/>
    <w:rsid w:val="00D54072"/>
    <w:rsid w:val="00D54362"/>
    <w:rsid w:val="00D54B55"/>
    <w:rsid w:val="00D551BA"/>
    <w:rsid w:val="00D557AE"/>
    <w:rsid w:val="00D5640E"/>
    <w:rsid w:val="00D5783A"/>
    <w:rsid w:val="00D61273"/>
    <w:rsid w:val="00D615D9"/>
    <w:rsid w:val="00D61DFC"/>
    <w:rsid w:val="00D620E2"/>
    <w:rsid w:val="00D6228A"/>
    <w:rsid w:val="00D62658"/>
    <w:rsid w:val="00D6543B"/>
    <w:rsid w:val="00D65703"/>
    <w:rsid w:val="00D7183E"/>
    <w:rsid w:val="00D73877"/>
    <w:rsid w:val="00D75672"/>
    <w:rsid w:val="00D76288"/>
    <w:rsid w:val="00D7732D"/>
    <w:rsid w:val="00D8039E"/>
    <w:rsid w:val="00D8063F"/>
    <w:rsid w:val="00D8122B"/>
    <w:rsid w:val="00D815D0"/>
    <w:rsid w:val="00D81912"/>
    <w:rsid w:val="00D8499B"/>
    <w:rsid w:val="00D86B0D"/>
    <w:rsid w:val="00D86B2A"/>
    <w:rsid w:val="00D87075"/>
    <w:rsid w:val="00D8745F"/>
    <w:rsid w:val="00D87CF0"/>
    <w:rsid w:val="00D91212"/>
    <w:rsid w:val="00D9224E"/>
    <w:rsid w:val="00D94D8B"/>
    <w:rsid w:val="00D951F4"/>
    <w:rsid w:val="00D959C1"/>
    <w:rsid w:val="00D96ACD"/>
    <w:rsid w:val="00DA1962"/>
    <w:rsid w:val="00DA2499"/>
    <w:rsid w:val="00DA2741"/>
    <w:rsid w:val="00DA282E"/>
    <w:rsid w:val="00DA3C6D"/>
    <w:rsid w:val="00DA5529"/>
    <w:rsid w:val="00DA57AD"/>
    <w:rsid w:val="00DA636B"/>
    <w:rsid w:val="00DA6C74"/>
    <w:rsid w:val="00DA7081"/>
    <w:rsid w:val="00DA75B2"/>
    <w:rsid w:val="00DA7790"/>
    <w:rsid w:val="00DA7853"/>
    <w:rsid w:val="00DB0972"/>
    <w:rsid w:val="00DB0CB1"/>
    <w:rsid w:val="00DB14BE"/>
    <w:rsid w:val="00DB1D61"/>
    <w:rsid w:val="00DB3A1B"/>
    <w:rsid w:val="00DB4E48"/>
    <w:rsid w:val="00DB54EB"/>
    <w:rsid w:val="00DB5D79"/>
    <w:rsid w:val="00DB5E6C"/>
    <w:rsid w:val="00DB7812"/>
    <w:rsid w:val="00DC1AA9"/>
    <w:rsid w:val="00DC331E"/>
    <w:rsid w:val="00DC3B44"/>
    <w:rsid w:val="00DC3FCC"/>
    <w:rsid w:val="00DC4D91"/>
    <w:rsid w:val="00DC65D0"/>
    <w:rsid w:val="00DD0AC1"/>
    <w:rsid w:val="00DD14EE"/>
    <w:rsid w:val="00DD2DDD"/>
    <w:rsid w:val="00DD3132"/>
    <w:rsid w:val="00DD3BB1"/>
    <w:rsid w:val="00DD42A2"/>
    <w:rsid w:val="00DD4552"/>
    <w:rsid w:val="00DD52EA"/>
    <w:rsid w:val="00DD715C"/>
    <w:rsid w:val="00DD7406"/>
    <w:rsid w:val="00DE18BC"/>
    <w:rsid w:val="00DE1DBE"/>
    <w:rsid w:val="00DE1DE7"/>
    <w:rsid w:val="00DE28AC"/>
    <w:rsid w:val="00DE55D4"/>
    <w:rsid w:val="00DE71E4"/>
    <w:rsid w:val="00DE7271"/>
    <w:rsid w:val="00DE74E7"/>
    <w:rsid w:val="00DF016B"/>
    <w:rsid w:val="00DF01D7"/>
    <w:rsid w:val="00DF0984"/>
    <w:rsid w:val="00DF0D90"/>
    <w:rsid w:val="00DF11CE"/>
    <w:rsid w:val="00DF1D3C"/>
    <w:rsid w:val="00DF2A53"/>
    <w:rsid w:val="00DF2B2A"/>
    <w:rsid w:val="00DF362D"/>
    <w:rsid w:val="00DF4B62"/>
    <w:rsid w:val="00DF53F3"/>
    <w:rsid w:val="00DF5835"/>
    <w:rsid w:val="00DF6DD3"/>
    <w:rsid w:val="00DF73A8"/>
    <w:rsid w:val="00DF7BEA"/>
    <w:rsid w:val="00E00C80"/>
    <w:rsid w:val="00E01297"/>
    <w:rsid w:val="00E01604"/>
    <w:rsid w:val="00E0340F"/>
    <w:rsid w:val="00E0517E"/>
    <w:rsid w:val="00E0537B"/>
    <w:rsid w:val="00E06640"/>
    <w:rsid w:val="00E07E11"/>
    <w:rsid w:val="00E10836"/>
    <w:rsid w:val="00E12CF9"/>
    <w:rsid w:val="00E13BD3"/>
    <w:rsid w:val="00E14A43"/>
    <w:rsid w:val="00E14F08"/>
    <w:rsid w:val="00E151A4"/>
    <w:rsid w:val="00E16B7D"/>
    <w:rsid w:val="00E20B0B"/>
    <w:rsid w:val="00E21EBD"/>
    <w:rsid w:val="00E22BDA"/>
    <w:rsid w:val="00E23B56"/>
    <w:rsid w:val="00E2448B"/>
    <w:rsid w:val="00E24866"/>
    <w:rsid w:val="00E24F4A"/>
    <w:rsid w:val="00E26113"/>
    <w:rsid w:val="00E26128"/>
    <w:rsid w:val="00E266A4"/>
    <w:rsid w:val="00E26E1A"/>
    <w:rsid w:val="00E27DB9"/>
    <w:rsid w:val="00E3096B"/>
    <w:rsid w:val="00E3191C"/>
    <w:rsid w:val="00E334C4"/>
    <w:rsid w:val="00E35306"/>
    <w:rsid w:val="00E35847"/>
    <w:rsid w:val="00E35D92"/>
    <w:rsid w:val="00E40089"/>
    <w:rsid w:val="00E4055F"/>
    <w:rsid w:val="00E40D4C"/>
    <w:rsid w:val="00E4362E"/>
    <w:rsid w:val="00E44D80"/>
    <w:rsid w:val="00E46013"/>
    <w:rsid w:val="00E46BA1"/>
    <w:rsid w:val="00E47059"/>
    <w:rsid w:val="00E4757A"/>
    <w:rsid w:val="00E47B4A"/>
    <w:rsid w:val="00E50B91"/>
    <w:rsid w:val="00E50E49"/>
    <w:rsid w:val="00E51605"/>
    <w:rsid w:val="00E53110"/>
    <w:rsid w:val="00E53D89"/>
    <w:rsid w:val="00E54276"/>
    <w:rsid w:val="00E547F1"/>
    <w:rsid w:val="00E55806"/>
    <w:rsid w:val="00E56532"/>
    <w:rsid w:val="00E56C95"/>
    <w:rsid w:val="00E56F4A"/>
    <w:rsid w:val="00E6006E"/>
    <w:rsid w:val="00E62D85"/>
    <w:rsid w:val="00E63137"/>
    <w:rsid w:val="00E63C4E"/>
    <w:rsid w:val="00E63F53"/>
    <w:rsid w:val="00E64BEE"/>
    <w:rsid w:val="00E651FB"/>
    <w:rsid w:val="00E654E0"/>
    <w:rsid w:val="00E65BEB"/>
    <w:rsid w:val="00E6662E"/>
    <w:rsid w:val="00E67110"/>
    <w:rsid w:val="00E7157C"/>
    <w:rsid w:val="00E71ADF"/>
    <w:rsid w:val="00E72D6D"/>
    <w:rsid w:val="00E74213"/>
    <w:rsid w:val="00E746FF"/>
    <w:rsid w:val="00E7488D"/>
    <w:rsid w:val="00E77B0F"/>
    <w:rsid w:val="00E77C63"/>
    <w:rsid w:val="00E80396"/>
    <w:rsid w:val="00E807C1"/>
    <w:rsid w:val="00E81CFE"/>
    <w:rsid w:val="00E8340C"/>
    <w:rsid w:val="00E84219"/>
    <w:rsid w:val="00E8430C"/>
    <w:rsid w:val="00E85B5D"/>
    <w:rsid w:val="00E87178"/>
    <w:rsid w:val="00E87432"/>
    <w:rsid w:val="00E878F3"/>
    <w:rsid w:val="00E87DA1"/>
    <w:rsid w:val="00E90AA6"/>
    <w:rsid w:val="00E90E3C"/>
    <w:rsid w:val="00E90F6E"/>
    <w:rsid w:val="00E943B8"/>
    <w:rsid w:val="00E94C20"/>
    <w:rsid w:val="00E956F4"/>
    <w:rsid w:val="00E964FD"/>
    <w:rsid w:val="00E9662D"/>
    <w:rsid w:val="00E972E2"/>
    <w:rsid w:val="00E9779D"/>
    <w:rsid w:val="00EA0553"/>
    <w:rsid w:val="00EA1098"/>
    <w:rsid w:val="00EA12B2"/>
    <w:rsid w:val="00EA1577"/>
    <w:rsid w:val="00EA2315"/>
    <w:rsid w:val="00EA2FDD"/>
    <w:rsid w:val="00EA46DB"/>
    <w:rsid w:val="00EA477A"/>
    <w:rsid w:val="00EA6395"/>
    <w:rsid w:val="00EA6A15"/>
    <w:rsid w:val="00EA6F77"/>
    <w:rsid w:val="00EB1178"/>
    <w:rsid w:val="00EB209E"/>
    <w:rsid w:val="00EB43C0"/>
    <w:rsid w:val="00EB4D83"/>
    <w:rsid w:val="00EB4E96"/>
    <w:rsid w:val="00EB5098"/>
    <w:rsid w:val="00EB5CD1"/>
    <w:rsid w:val="00EB6701"/>
    <w:rsid w:val="00EB7532"/>
    <w:rsid w:val="00EB7AED"/>
    <w:rsid w:val="00EC0706"/>
    <w:rsid w:val="00EC1500"/>
    <w:rsid w:val="00EC21F8"/>
    <w:rsid w:val="00EC2F5C"/>
    <w:rsid w:val="00EC39DF"/>
    <w:rsid w:val="00EC44AB"/>
    <w:rsid w:val="00EC54EA"/>
    <w:rsid w:val="00EC5F23"/>
    <w:rsid w:val="00EC6527"/>
    <w:rsid w:val="00EC68BB"/>
    <w:rsid w:val="00EC6A3E"/>
    <w:rsid w:val="00EC6CC9"/>
    <w:rsid w:val="00EC70C8"/>
    <w:rsid w:val="00EC7A0E"/>
    <w:rsid w:val="00ED16C2"/>
    <w:rsid w:val="00ED1ED5"/>
    <w:rsid w:val="00ED2CA8"/>
    <w:rsid w:val="00ED4214"/>
    <w:rsid w:val="00ED436B"/>
    <w:rsid w:val="00ED4B14"/>
    <w:rsid w:val="00ED5A98"/>
    <w:rsid w:val="00ED7074"/>
    <w:rsid w:val="00ED741A"/>
    <w:rsid w:val="00ED7611"/>
    <w:rsid w:val="00EE0AF8"/>
    <w:rsid w:val="00EE1000"/>
    <w:rsid w:val="00EE16D4"/>
    <w:rsid w:val="00EE2C87"/>
    <w:rsid w:val="00EE354C"/>
    <w:rsid w:val="00EE39D5"/>
    <w:rsid w:val="00EE4D03"/>
    <w:rsid w:val="00EE4E89"/>
    <w:rsid w:val="00EE56D2"/>
    <w:rsid w:val="00EE61A2"/>
    <w:rsid w:val="00EE623E"/>
    <w:rsid w:val="00EE6A5D"/>
    <w:rsid w:val="00EE6A7F"/>
    <w:rsid w:val="00EF0925"/>
    <w:rsid w:val="00EF1275"/>
    <w:rsid w:val="00EF17D4"/>
    <w:rsid w:val="00EF32CA"/>
    <w:rsid w:val="00EF4086"/>
    <w:rsid w:val="00EF4399"/>
    <w:rsid w:val="00F00511"/>
    <w:rsid w:val="00F01BD1"/>
    <w:rsid w:val="00F02655"/>
    <w:rsid w:val="00F02CE3"/>
    <w:rsid w:val="00F03388"/>
    <w:rsid w:val="00F0356F"/>
    <w:rsid w:val="00F037AF"/>
    <w:rsid w:val="00F045B9"/>
    <w:rsid w:val="00F055AC"/>
    <w:rsid w:val="00F0616C"/>
    <w:rsid w:val="00F067BF"/>
    <w:rsid w:val="00F07DDD"/>
    <w:rsid w:val="00F10263"/>
    <w:rsid w:val="00F103E7"/>
    <w:rsid w:val="00F109B5"/>
    <w:rsid w:val="00F10A62"/>
    <w:rsid w:val="00F10D3B"/>
    <w:rsid w:val="00F11230"/>
    <w:rsid w:val="00F11B04"/>
    <w:rsid w:val="00F11EB1"/>
    <w:rsid w:val="00F12733"/>
    <w:rsid w:val="00F12C1B"/>
    <w:rsid w:val="00F140EC"/>
    <w:rsid w:val="00F144AB"/>
    <w:rsid w:val="00F14B6F"/>
    <w:rsid w:val="00F15F5C"/>
    <w:rsid w:val="00F17703"/>
    <w:rsid w:val="00F17C79"/>
    <w:rsid w:val="00F17EE5"/>
    <w:rsid w:val="00F2008A"/>
    <w:rsid w:val="00F20A75"/>
    <w:rsid w:val="00F21527"/>
    <w:rsid w:val="00F216EF"/>
    <w:rsid w:val="00F226C7"/>
    <w:rsid w:val="00F22DA0"/>
    <w:rsid w:val="00F23266"/>
    <w:rsid w:val="00F236BE"/>
    <w:rsid w:val="00F25C9F"/>
    <w:rsid w:val="00F305B6"/>
    <w:rsid w:val="00F30704"/>
    <w:rsid w:val="00F3081C"/>
    <w:rsid w:val="00F30B77"/>
    <w:rsid w:val="00F317F7"/>
    <w:rsid w:val="00F325D2"/>
    <w:rsid w:val="00F3489A"/>
    <w:rsid w:val="00F34AC8"/>
    <w:rsid w:val="00F34B11"/>
    <w:rsid w:val="00F3541F"/>
    <w:rsid w:val="00F35A18"/>
    <w:rsid w:val="00F3604D"/>
    <w:rsid w:val="00F37B79"/>
    <w:rsid w:val="00F4053B"/>
    <w:rsid w:val="00F40AAE"/>
    <w:rsid w:val="00F40AD6"/>
    <w:rsid w:val="00F41041"/>
    <w:rsid w:val="00F41953"/>
    <w:rsid w:val="00F42807"/>
    <w:rsid w:val="00F448EC"/>
    <w:rsid w:val="00F44BAF"/>
    <w:rsid w:val="00F44D55"/>
    <w:rsid w:val="00F45928"/>
    <w:rsid w:val="00F46226"/>
    <w:rsid w:val="00F47898"/>
    <w:rsid w:val="00F50200"/>
    <w:rsid w:val="00F50254"/>
    <w:rsid w:val="00F5035C"/>
    <w:rsid w:val="00F506EF"/>
    <w:rsid w:val="00F5140D"/>
    <w:rsid w:val="00F52022"/>
    <w:rsid w:val="00F54105"/>
    <w:rsid w:val="00F54186"/>
    <w:rsid w:val="00F55FB4"/>
    <w:rsid w:val="00F565A3"/>
    <w:rsid w:val="00F56BC6"/>
    <w:rsid w:val="00F578FD"/>
    <w:rsid w:val="00F61047"/>
    <w:rsid w:val="00F614EB"/>
    <w:rsid w:val="00F637B3"/>
    <w:rsid w:val="00F64334"/>
    <w:rsid w:val="00F65D92"/>
    <w:rsid w:val="00F660C4"/>
    <w:rsid w:val="00F66594"/>
    <w:rsid w:val="00F667F7"/>
    <w:rsid w:val="00F66F78"/>
    <w:rsid w:val="00F67101"/>
    <w:rsid w:val="00F7065E"/>
    <w:rsid w:val="00F71CF8"/>
    <w:rsid w:val="00F71EDA"/>
    <w:rsid w:val="00F73121"/>
    <w:rsid w:val="00F7326C"/>
    <w:rsid w:val="00F733F7"/>
    <w:rsid w:val="00F73BF3"/>
    <w:rsid w:val="00F73C82"/>
    <w:rsid w:val="00F7435C"/>
    <w:rsid w:val="00F77A97"/>
    <w:rsid w:val="00F77BD5"/>
    <w:rsid w:val="00F8058D"/>
    <w:rsid w:val="00F80B82"/>
    <w:rsid w:val="00F811F9"/>
    <w:rsid w:val="00F815AA"/>
    <w:rsid w:val="00F85980"/>
    <w:rsid w:val="00F85D7B"/>
    <w:rsid w:val="00F85FBC"/>
    <w:rsid w:val="00F861F4"/>
    <w:rsid w:val="00F86FC9"/>
    <w:rsid w:val="00F87282"/>
    <w:rsid w:val="00F910D0"/>
    <w:rsid w:val="00F9119D"/>
    <w:rsid w:val="00F91DE7"/>
    <w:rsid w:val="00F91E82"/>
    <w:rsid w:val="00F9390B"/>
    <w:rsid w:val="00F93B4D"/>
    <w:rsid w:val="00F94142"/>
    <w:rsid w:val="00F9416F"/>
    <w:rsid w:val="00F95B6E"/>
    <w:rsid w:val="00F960D7"/>
    <w:rsid w:val="00F96815"/>
    <w:rsid w:val="00F973D7"/>
    <w:rsid w:val="00F9757F"/>
    <w:rsid w:val="00F97C28"/>
    <w:rsid w:val="00F97DD2"/>
    <w:rsid w:val="00FA00AA"/>
    <w:rsid w:val="00FA112E"/>
    <w:rsid w:val="00FA1272"/>
    <w:rsid w:val="00FA1FFF"/>
    <w:rsid w:val="00FA21E5"/>
    <w:rsid w:val="00FA3041"/>
    <w:rsid w:val="00FA3393"/>
    <w:rsid w:val="00FA515A"/>
    <w:rsid w:val="00FA523C"/>
    <w:rsid w:val="00FA5976"/>
    <w:rsid w:val="00FA6B3A"/>
    <w:rsid w:val="00FB06C2"/>
    <w:rsid w:val="00FB06D3"/>
    <w:rsid w:val="00FB081E"/>
    <w:rsid w:val="00FB0E1E"/>
    <w:rsid w:val="00FB1211"/>
    <w:rsid w:val="00FB236E"/>
    <w:rsid w:val="00FB25C1"/>
    <w:rsid w:val="00FB2CFD"/>
    <w:rsid w:val="00FB3189"/>
    <w:rsid w:val="00FB429B"/>
    <w:rsid w:val="00FB5537"/>
    <w:rsid w:val="00FB5ACA"/>
    <w:rsid w:val="00FB5E47"/>
    <w:rsid w:val="00FC1952"/>
    <w:rsid w:val="00FC1ABE"/>
    <w:rsid w:val="00FC2104"/>
    <w:rsid w:val="00FC21F5"/>
    <w:rsid w:val="00FC23CB"/>
    <w:rsid w:val="00FC2B0D"/>
    <w:rsid w:val="00FC33C2"/>
    <w:rsid w:val="00FC34ED"/>
    <w:rsid w:val="00FC38DF"/>
    <w:rsid w:val="00FC3B26"/>
    <w:rsid w:val="00FC44EA"/>
    <w:rsid w:val="00FC46D3"/>
    <w:rsid w:val="00FC473F"/>
    <w:rsid w:val="00FC5C06"/>
    <w:rsid w:val="00FC6E93"/>
    <w:rsid w:val="00FC7EED"/>
    <w:rsid w:val="00FD20A1"/>
    <w:rsid w:val="00FD2B61"/>
    <w:rsid w:val="00FD30B0"/>
    <w:rsid w:val="00FD505C"/>
    <w:rsid w:val="00FD5421"/>
    <w:rsid w:val="00FD5C97"/>
    <w:rsid w:val="00FD5CE6"/>
    <w:rsid w:val="00FD5F17"/>
    <w:rsid w:val="00FD6008"/>
    <w:rsid w:val="00FD6836"/>
    <w:rsid w:val="00FD752B"/>
    <w:rsid w:val="00FE15FB"/>
    <w:rsid w:val="00FE17C2"/>
    <w:rsid w:val="00FE2977"/>
    <w:rsid w:val="00FE3BB2"/>
    <w:rsid w:val="00FE4F81"/>
    <w:rsid w:val="00FE520B"/>
    <w:rsid w:val="00FE7E6F"/>
    <w:rsid w:val="00FE7EFB"/>
    <w:rsid w:val="00FF0D11"/>
    <w:rsid w:val="00FF0F52"/>
    <w:rsid w:val="00FF1E8D"/>
    <w:rsid w:val="00FF1EE6"/>
    <w:rsid w:val="00FF3E29"/>
    <w:rsid w:val="00FF3E79"/>
    <w:rsid w:val="00FF7B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20C8"/>
  <w15:chartTrackingRefBased/>
  <w15:docId w15:val="{D8F68B72-E3A0-4B0F-B74E-065B315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AA"/>
    <w:pPr>
      <w:spacing w:after="240" w:line="240" w:lineRule="atLeast"/>
    </w:pPr>
    <w:rPr>
      <w:sz w:val="18"/>
      <w:lang w:val="es-DO"/>
    </w:rPr>
  </w:style>
  <w:style w:type="paragraph" w:styleId="Ttulo1">
    <w:name w:val="heading 1"/>
    <w:basedOn w:val="Normal"/>
    <w:next w:val="Normal"/>
    <w:link w:val="Ttulo1Car"/>
    <w:uiPriority w:val="9"/>
    <w:qFormat/>
    <w:rsid w:val="007550AB"/>
    <w:pPr>
      <w:keepNext/>
      <w:keepLines/>
      <w:spacing w:after="0"/>
      <w:outlineLvl w:val="0"/>
    </w:pPr>
    <w:rPr>
      <w:rFonts w:asciiTheme="majorHAnsi" w:eastAsiaTheme="majorEastAsia" w:hAnsiTheme="majorHAnsi" w:cstheme="majorBidi"/>
      <w:b/>
      <w:bCs/>
      <w:color w:val="00A3E0" w:themeColor="accent3"/>
      <w:szCs w:val="28"/>
    </w:rPr>
  </w:style>
  <w:style w:type="paragraph" w:styleId="Ttulo2">
    <w:name w:val="heading 2"/>
    <w:basedOn w:val="Normal"/>
    <w:next w:val="Normal"/>
    <w:link w:val="Ttulo2Car"/>
    <w:uiPriority w:val="9"/>
    <w:qFormat/>
    <w:rsid w:val="007550AB"/>
    <w:pPr>
      <w:keepNext/>
      <w:keepLines/>
      <w:spacing w:after="0"/>
      <w:outlineLvl w:val="1"/>
    </w:pPr>
    <w:rPr>
      <w:rFonts w:asciiTheme="majorHAnsi" w:eastAsiaTheme="majorEastAsia" w:hAnsiTheme="majorHAnsi" w:cstheme="majorBidi"/>
      <w:b/>
      <w:bCs/>
      <w:color w:val="000000" w:themeColor="text1"/>
      <w:szCs w:val="26"/>
    </w:rPr>
  </w:style>
  <w:style w:type="paragraph" w:styleId="Ttulo3">
    <w:name w:val="heading 3"/>
    <w:basedOn w:val="Normal"/>
    <w:next w:val="Normal"/>
    <w:link w:val="Ttulo3Car"/>
    <w:uiPriority w:val="9"/>
    <w:qFormat/>
    <w:rsid w:val="00CC2A1A"/>
    <w:pPr>
      <w:keepNext/>
      <w:keepLines/>
      <w:spacing w:after="0"/>
      <w:outlineLvl w:val="2"/>
    </w:pPr>
    <w:rPr>
      <w:rFonts w:asciiTheme="majorHAnsi" w:eastAsiaTheme="majorEastAsia" w:hAnsiTheme="majorHAnsi" w:cstheme="majorBidi"/>
      <w:b/>
      <w:bCs/>
      <w:color w:val="75787B" w:themeColor="accent6"/>
    </w:rPr>
  </w:style>
  <w:style w:type="paragraph" w:styleId="Ttulo4">
    <w:name w:val="heading 4"/>
    <w:basedOn w:val="Normal"/>
    <w:next w:val="Normal"/>
    <w:link w:val="Ttulo4C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0AB"/>
    <w:rPr>
      <w:rFonts w:asciiTheme="majorHAnsi" w:eastAsiaTheme="majorEastAsia" w:hAnsiTheme="majorHAnsi" w:cstheme="majorBidi"/>
      <w:b/>
      <w:bCs/>
      <w:color w:val="00A3E0" w:themeColor="accent3"/>
      <w:sz w:val="18"/>
      <w:szCs w:val="28"/>
      <w:lang w:val="en-US"/>
    </w:rPr>
  </w:style>
  <w:style w:type="character" w:customStyle="1" w:styleId="Ttulo2Car">
    <w:name w:val="Título 2 Car"/>
    <w:basedOn w:val="Fuentedeprrafopredeter"/>
    <w:link w:val="Ttulo2"/>
    <w:uiPriority w:val="9"/>
    <w:rsid w:val="007550AB"/>
    <w:rPr>
      <w:rFonts w:asciiTheme="majorHAnsi" w:eastAsiaTheme="majorEastAsia" w:hAnsiTheme="majorHAnsi" w:cstheme="majorBidi"/>
      <w:b/>
      <w:bCs/>
      <w:color w:val="000000" w:themeColor="text1"/>
      <w:sz w:val="18"/>
      <w:szCs w:val="26"/>
      <w:lang w:val="en-US"/>
    </w:rPr>
  </w:style>
  <w:style w:type="table" w:styleId="Tablaconcuadrcula">
    <w:name w:val="Table Grid"/>
    <w:aliases w:val="Deloitte,Table Definitions Grid,Deloitte Table Grid"/>
    <w:basedOn w:val="Tablanormal"/>
    <w:uiPriority w:val="39"/>
    <w:rsid w:val="00025E7D"/>
    <w:pPr>
      <w:spacing w:after="0" w:line="240" w:lineRule="auto"/>
    </w:pPr>
    <w:tblPr/>
  </w:style>
  <w:style w:type="paragraph" w:styleId="Encabezado">
    <w:name w:val="header"/>
    <w:link w:val="EncabezadoCar"/>
    <w:uiPriority w:val="99"/>
    <w:rsid w:val="008631CE"/>
    <w:pPr>
      <w:tabs>
        <w:tab w:val="center" w:pos="4513"/>
        <w:tab w:val="right" w:pos="9026"/>
      </w:tabs>
      <w:spacing w:after="0" w:line="240" w:lineRule="auto"/>
    </w:pPr>
    <w:rPr>
      <w:b/>
      <w:sz w:val="14"/>
      <w:lang w:val="en-US"/>
    </w:rPr>
  </w:style>
  <w:style w:type="character" w:customStyle="1" w:styleId="EncabezadoCar">
    <w:name w:val="Encabezado Car"/>
    <w:basedOn w:val="Fuentedeprrafopredeter"/>
    <w:link w:val="Encabezado"/>
    <w:uiPriority w:val="99"/>
    <w:rsid w:val="008631CE"/>
    <w:rPr>
      <w:b/>
      <w:sz w:val="14"/>
      <w:lang w:val="en-US"/>
    </w:rPr>
  </w:style>
  <w:style w:type="paragraph" w:styleId="Piedepgina">
    <w:name w:val="footer"/>
    <w:basedOn w:val="Normal"/>
    <w:link w:val="PiedepginaCar"/>
    <w:uiPriority w:val="99"/>
    <w:rsid w:val="001975EF"/>
    <w:pPr>
      <w:tabs>
        <w:tab w:val="right" w:pos="7371"/>
      </w:tabs>
      <w:spacing w:after="0" w:line="200" w:lineRule="atLeast"/>
    </w:pPr>
    <w:rPr>
      <w:sz w:val="16"/>
    </w:rPr>
  </w:style>
  <w:style w:type="character" w:customStyle="1" w:styleId="PiedepginaCar">
    <w:name w:val="Pie de página Car"/>
    <w:basedOn w:val="Fuentedeprrafopredeter"/>
    <w:link w:val="Piedepgina"/>
    <w:uiPriority w:val="99"/>
    <w:rsid w:val="007550AB"/>
    <w:rPr>
      <w:sz w:val="16"/>
      <w:lang w:val="en-US"/>
    </w:rPr>
  </w:style>
  <w:style w:type="paragraph" w:styleId="Textodeglobo">
    <w:name w:val="Balloon Text"/>
    <w:basedOn w:val="Normal"/>
    <w:link w:val="TextodegloboCar"/>
    <w:uiPriority w:val="99"/>
    <w:semiHidden/>
    <w:rsid w:val="00C70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Textodelmarcadordeposicin">
    <w:name w:val="Placeholder Text"/>
    <w:basedOn w:val="Fuentedeprrafopredeter"/>
    <w:uiPriority w:val="99"/>
    <w:semiHidden/>
    <w:rsid w:val="001975EF"/>
    <w:rPr>
      <w:color w:val="808080"/>
    </w:rPr>
  </w:style>
  <w:style w:type="paragraph" w:styleId="Listaconvietas">
    <w:name w:val="List Bullet"/>
    <w:basedOn w:val="Normal"/>
    <w:uiPriority w:val="99"/>
    <w:qFormat/>
    <w:rsid w:val="00F614EB"/>
    <w:pPr>
      <w:numPr>
        <w:numId w:val="1"/>
      </w:numPr>
      <w:tabs>
        <w:tab w:val="clear" w:pos="360"/>
      </w:tabs>
      <w:spacing w:after="0"/>
      <w:ind w:left="284" w:hanging="284"/>
      <w:contextualSpacing/>
    </w:pPr>
  </w:style>
  <w:style w:type="paragraph" w:styleId="Listaconvietas2">
    <w:name w:val="List Bullet 2"/>
    <w:basedOn w:val="Normal"/>
    <w:uiPriority w:val="99"/>
    <w:qFormat/>
    <w:rsid w:val="002B4D02"/>
    <w:pPr>
      <w:numPr>
        <w:numId w:val="2"/>
      </w:numPr>
      <w:ind w:left="568" w:hanging="284"/>
      <w:contextualSpacing/>
    </w:pPr>
  </w:style>
  <w:style w:type="paragraph" w:styleId="Listaconnmeros">
    <w:name w:val="List Number"/>
    <w:basedOn w:val="Normal"/>
    <w:uiPriority w:val="99"/>
    <w:qFormat/>
    <w:rsid w:val="00F614EB"/>
    <w:pPr>
      <w:numPr>
        <w:numId w:val="3"/>
      </w:numPr>
      <w:tabs>
        <w:tab w:val="clear" w:pos="360"/>
      </w:tabs>
      <w:spacing w:after="0"/>
      <w:ind w:left="284" w:hanging="284"/>
      <w:contextualSpacing/>
    </w:pPr>
  </w:style>
  <w:style w:type="paragraph" w:styleId="Listaconnmeros2">
    <w:name w:val="List Number 2"/>
    <w:basedOn w:val="Normal"/>
    <w:uiPriority w:val="99"/>
    <w:qFormat/>
    <w:rsid w:val="00F614EB"/>
    <w:pPr>
      <w:numPr>
        <w:numId w:val="4"/>
      </w:numPr>
      <w:ind w:left="568" w:hanging="284"/>
      <w:contextualSpacing/>
    </w:pPr>
  </w:style>
  <w:style w:type="character" w:customStyle="1" w:styleId="Ttulo3Car">
    <w:name w:val="Título 3 Car"/>
    <w:basedOn w:val="Fuentedeprrafopredeter"/>
    <w:link w:val="Ttulo3"/>
    <w:uiPriority w:val="9"/>
    <w:rsid w:val="00CC2A1A"/>
    <w:rPr>
      <w:rFonts w:asciiTheme="majorHAnsi" w:eastAsiaTheme="majorEastAsia" w:hAnsiTheme="majorHAnsi" w:cstheme="majorBidi"/>
      <w:b/>
      <w:bCs/>
      <w:color w:val="75787B" w:themeColor="accent6"/>
      <w:sz w:val="18"/>
      <w:lang w:val="en-US"/>
    </w:rPr>
  </w:style>
  <w:style w:type="character" w:customStyle="1" w:styleId="Ttulo4Car">
    <w:name w:val="Título 4 Car"/>
    <w:basedOn w:val="Fuentedeprrafopredeter"/>
    <w:link w:val="Ttulo4"/>
    <w:uiPriority w:val="9"/>
    <w:semiHidden/>
    <w:rsid w:val="007550AB"/>
    <w:rPr>
      <w:rFonts w:asciiTheme="majorHAnsi" w:eastAsiaTheme="majorEastAsia" w:hAnsiTheme="majorHAnsi" w:cstheme="majorBidi"/>
      <w:b/>
      <w:bCs/>
      <w:iCs/>
      <w:color w:val="000000" w:themeColor="text1"/>
      <w:sz w:val="18"/>
      <w:lang w:val="en-US"/>
    </w:rPr>
  </w:style>
  <w:style w:type="paragraph" w:styleId="Textonotapie">
    <w:name w:val="footnote text"/>
    <w:basedOn w:val="Normal"/>
    <w:link w:val="TextonotapieCar"/>
    <w:uiPriority w:val="99"/>
    <w:rsid w:val="00F3081C"/>
    <w:pPr>
      <w:spacing w:after="0" w:line="240" w:lineRule="auto"/>
    </w:pPr>
    <w:rPr>
      <w:sz w:val="16"/>
      <w:szCs w:val="20"/>
    </w:rPr>
  </w:style>
  <w:style w:type="character" w:customStyle="1" w:styleId="TextonotapieCar">
    <w:name w:val="Texto nota pie Car"/>
    <w:basedOn w:val="Fuentedeprrafopredeter"/>
    <w:link w:val="Textonotapie"/>
    <w:uiPriority w:val="99"/>
    <w:rsid w:val="007550AB"/>
    <w:rPr>
      <w:sz w:val="16"/>
      <w:szCs w:val="20"/>
      <w:lang w:val="en-US"/>
    </w:rPr>
  </w:style>
  <w:style w:type="paragraph" w:customStyle="1" w:styleId="Documenttitle">
    <w:name w:val="Document title"/>
    <w:next w:val="Documentsubtitle"/>
    <w:qFormat/>
    <w:rsid w:val="00B2623B"/>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Refdenotaalpie">
    <w:name w:val="footnote reference"/>
    <w:basedOn w:val="Fuentedeprrafopredeter"/>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0A08EF"/>
    <w:pPr>
      <w:spacing w:line="360" w:lineRule="atLeast"/>
    </w:pPr>
    <w:rPr>
      <w:color w:val="00A3E0"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Descripcin">
    <w:name w:val="caption"/>
    <w:basedOn w:val="Normal"/>
    <w:next w:val="Normal"/>
    <w:uiPriority w:val="35"/>
    <w:qFormat/>
    <w:rsid w:val="00B46969"/>
    <w:pPr>
      <w:keepNext/>
      <w:spacing w:line="240" w:lineRule="auto"/>
    </w:pPr>
    <w:rPr>
      <w:iCs/>
      <w:color w:val="75787B" w:themeColor="accent6"/>
      <w:sz w:val="17"/>
      <w:szCs w:val="18"/>
    </w:rPr>
  </w:style>
  <w:style w:type="character" w:styleId="Hipervnculo">
    <w:name w:val="Hyperlink"/>
    <w:basedOn w:val="Fuentedeprrafopredeter"/>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00A3E0"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DC1">
    <w:name w:val="toc 1"/>
    <w:basedOn w:val="Normal"/>
    <w:next w:val="Normal"/>
    <w:autoRedefine/>
    <w:uiPriority w:val="39"/>
    <w:rsid w:val="00056D74"/>
    <w:pPr>
      <w:tabs>
        <w:tab w:val="right" w:pos="7258"/>
      </w:tabs>
      <w:spacing w:after="120" w:line="360" w:lineRule="atLeast"/>
      <w:ind w:right="567"/>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0A3B61"/>
    <w:pPr>
      <w:spacing w:after="0" w:line="180" w:lineRule="atLeast"/>
      <w:ind w:right="5387"/>
    </w:pPr>
    <w:rPr>
      <w:sz w:val="14"/>
      <w:lang w:val="en-GB"/>
    </w:rPr>
  </w:style>
  <w:style w:type="paragraph" w:customStyle="1" w:styleId="Tabletext">
    <w:name w:val="Table text"/>
    <w:basedOn w:val="Normal"/>
    <w:qFormat/>
    <w:rsid w:val="008455D3"/>
    <w:pPr>
      <w:spacing w:after="0" w:line="200" w:lineRule="atLeast"/>
    </w:pPr>
    <w:rPr>
      <w:sz w:val="17"/>
    </w:rPr>
  </w:style>
  <w:style w:type="paragraph" w:customStyle="1" w:styleId="Tabletitle">
    <w:name w:val="Table title"/>
    <w:basedOn w:val="Tabletext"/>
    <w:qFormat/>
    <w:rsid w:val="008455D3"/>
    <w:rPr>
      <w:b/>
      <w:color w:val="00A3E0" w:themeColor="accent3"/>
    </w:rPr>
  </w:style>
  <w:style w:type="paragraph" w:customStyle="1" w:styleId="SourcetextTableorChart">
    <w:name w:val="Source text Table or Chart"/>
    <w:basedOn w:val="Descripcin"/>
    <w:next w:val="Normal"/>
    <w:qFormat/>
    <w:rsid w:val="008455D3"/>
    <w:pPr>
      <w:spacing w:before="120"/>
    </w:pPr>
    <w:rPr>
      <w:sz w:val="14"/>
    </w:rPr>
  </w:style>
  <w:style w:type="table" w:customStyle="1" w:styleId="Deloittetable">
    <w:name w:val="Deloitte table"/>
    <w:basedOn w:val="Tablanormal"/>
    <w:uiPriority w:val="99"/>
    <w:rsid w:val="008455D3"/>
    <w:pPr>
      <w:spacing w:after="0" w:line="240" w:lineRule="auto"/>
    </w:pPr>
    <w:rPr>
      <w:sz w:val="17"/>
    </w:rPr>
    <w:tblPr>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customStyle="1" w:styleId="Tablebullets">
    <w:name w:val="Table bullets"/>
    <w:basedOn w:val="Tabletext"/>
    <w:qFormat/>
    <w:rsid w:val="008E3F12"/>
    <w:pPr>
      <w:numPr>
        <w:numId w:val="5"/>
      </w:numPr>
      <w:ind w:left="284" w:hanging="284"/>
    </w:pPr>
  </w:style>
  <w:style w:type="paragraph" w:customStyle="1" w:styleId="Tablenumbered">
    <w:name w:val="Table numbered"/>
    <w:basedOn w:val="Tablebullets"/>
    <w:qFormat/>
    <w:rsid w:val="008E3F12"/>
    <w:pPr>
      <w:numPr>
        <w:numId w:val="6"/>
      </w:numPr>
      <w:ind w:left="284" w:hanging="284"/>
    </w:pPr>
  </w:style>
  <w:style w:type="paragraph" w:customStyle="1" w:styleId="Charttitle">
    <w:name w:val="Chart title"/>
    <w:basedOn w:val="Ttulo2"/>
    <w:qFormat/>
    <w:rsid w:val="00374BC7"/>
    <w:pPr>
      <w:framePr w:hSpace="181" w:wrap="around" w:vAnchor="text" w:hAnchor="text" w:y="1"/>
      <w:suppressOverlap/>
    </w:pPr>
  </w:style>
  <w:style w:type="paragraph" w:customStyle="1" w:styleId="Headingone">
    <w:name w:val="Heading one"/>
    <w:basedOn w:val="Ttulo1"/>
    <w:link w:val="HeadingoneChar"/>
    <w:rsid w:val="00024B72"/>
    <w:pPr>
      <w:keepLines w:val="0"/>
      <w:spacing w:after="160" w:line="640" w:lineRule="exact"/>
      <w:ind w:left="601" w:hanging="601"/>
    </w:pPr>
    <w:rPr>
      <w:rFonts w:ascii="Times New Roman" w:eastAsia="Times" w:hAnsi="Times New Roman" w:cs="Times New Roman"/>
      <w:b w:val="0"/>
      <w:bCs w:val="0"/>
      <w:noProof/>
      <w:color w:val="000066"/>
      <w:kern w:val="32"/>
      <w:sz w:val="60"/>
      <w:szCs w:val="20"/>
      <w:lang w:val="en-GB"/>
    </w:rPr>
  </w:style>
  <w:style w:type="character" w:customStyle="1" w:styleId="HeadingoneChar">
    <w:name w:val="Heading one Char"/>
    <w:link w:val="Headingone"/>
    <w:rsid w:val="00024B72"/>
    <w:rPr>
      <w:rFonts w:ascii="Times New Roman" w:eastAsia="Times" w:hAnsi="Times New Roman" w:cs="Times New Roman"/>
      <w:noProof/>
      <w:color w:val="000066"/>
      <w:kern w:val="32"/>
      <w:sz w:val="60"/>
      <w:szCs w:val="20"/>
    </w:rPr>
  </w:style>
  <w:style w:type="paragraph" w:customStyle="1" w:styleId="BulletedText1">
    <w:name w:val="Bulleted Text 1"/>
    <w:basedOn w:val="Normal"/>
    <w:qFormat/>
    <w:rsid w:val="00024B72"/>
    <w:pPr>
      <w:numPr>
        <w:numId w:val="7"/>
      </w:numPr>
      <w:spacing w:after="0" w:line="250" w:lineRule="atLeast"/>
    </w:pPr>
    <w:rPr>
      <w:lang w:val="en-GB"/>
    </w:rPr>
  </w:style>
  <w:style w:type="paragraph" w:styleId="Prrafodelista">
    <w:name w:val="List Paragraph"/>
    <w:basedOn w:val="Normal"/>
    <w:link w:val="PrrafodelistaCar"/>
    <w:uiPriority w:val="34"/>
    <w:qFormat/>
    <w:rsid w:val="00024B72"/>
    <w:pPr>
      <w:ind w:left="720"/>
      <w:contextualSpacing/>
    </w:pPr>
  </w:style>
  <w:style w:type="paragraph" w:customStyle="1" w:styleId="DatetextCover2">
    <w:name w:val="Date text (Cover 2)"/>
    <w:basedOn w:val="Normal"/>
    <w:qFormat/>
    <w:rsid w:val="00024B72"/>
    <w:pPr>
      <w:spacing w:before="480" w:after="0" w:line="250" w:lineRule="atLeast"/>
    </w:pPr>
    <w:rPr>
      <w:b/>
      <w:sz w:val="22"/>
      <w:lang w:val="en-GB"/>
    </w:rPr>
  </w:style>
  <w:style w:type="paragraph" w:customStyle="1" w:styleId="SidebarBodyText">
    <w:name w:val="Sidebar Body Text"/>
    <w:basedOn w:val="Normal"/>
    <w:qFormat/>
    <w:rsid w:val="00024B72"/>
    <w:pPr>
      <w:spacing w:after="80" w:line="250" w:lineRule="atLeast"/>
    </w:pPr>
    <w:rPr>
      <w:color w:val="FFFFFF" w:themeColor="background1"/>
      <w:lang w:val="en-GB"/>
    </w:rPr>
  </w:style>
  <w:style w:type="paragraph" w:customStyle="1" w:styleId="SidebarBulletText1">
    <w:name w:val="Sidebar Bullet Text 1"/>
    <w:basedOn w:val="Normal"/>
    <w:qFormat/>
    <w:rsid w:val="00024B72"/>
    <w:pPr>
      <w:numPr>
        <w:numId w:val="8"/>
      </w:numPr>
      <w:spacing w:after="80" w:line="250" w:lineRule="atLeast"/>
      <w:ind w:left="170" w:hanging="170"/>
    </w:pPr>
    <w:rPr>
      <w:color w:val="FFFFFF" w:themeColor="background1"/>
      <w:lang w:val="en-GB"/>
    </w:rPr>
  </w:style>
  <w:style w:type="paragraph" w:customStyle="1" w:styleId="BulletedTableText">
    <w:name w:val="Bulleted Table Text"/>
    <w:basedOn w:val="Normal"/>
    <w:qFormat/>
    <w:rsid w:val="0070607F"/>
    <w:pPr>
      <w:numPr>
        <w:numId w:val="9"/>
      </w:numPr>
      <w:spacing w:after="0" w:line="250" w:lineRule="atLeast"/>
      <w:ind w:left="227" w:hanging="227"/>
    </w:pPr>
    <w:rPr>
      <w:sz w:val="16"/>
      <w:lang w:val="en-GB"/>
    </w:rPr>
  </w:style>
  <w:style w:type="paragraph" w:customStyle="1" w:styleId="LogoCover2">
    <w:name w:val="Logo Cover 2"/>
    <w:basedOn w:val="Normal"/>
    <w:qFormat/>
    <w:rsid w:val="0070607F"/>
    <w:pPr>
      <w:spacing w:after="600" w:line="250" w:lineRule="atLeast"/>
    </w:pPr>
    <w:rPr>
      <w:noProof/>
      <w:lang w:val="en-GB" w:eastAsia="en-GB"/>
    </w:rPr>
  </w:style>
  <w:style w:type="paragraph" w:styleId="Textoindependiente">
    <w:name w:val="Body Text"/>
    <w:basedOn w:val="Normal"/>
    <w:link w:val="TextoindependienteCar"/>
    <w:uiPriority w:val="99"/>
    <w:unhideWhenUsed/>
    <w:rsid w:val="00745992"/>
    <w:pPr>
      <w:spacing w:after="180" w:line="250" w:lineRule="atLeast"/>
    </w:pPr>
    <w:rPr>
      <w:lang w:val="en-GB"/>
    </w:rPr>
  </w:style>
  <w:style w:type="character" w:customStyle="1" w:styleId="TextoindependienteCar">
    <w:name w:val="Texto independiente Car"/>
    <w:basedOn w:val="Fuentedeprrafopredeter"/>
    <w:link w:val="Textoindependiente"/>
    <w:uiPriority w:val="99"/>
    <w:rsid w:val="00745992"/>
    <w:rPr>
      <w:sz w:val="18"/>
    </w:rPr>
  </w:style>
  <w:style w:type="paragraph" w:customStyle="1" w:styleId="Bodycopy">
    <w:name w:val="Body copy"/>
    <w:basedOn w:val="Normal"/>
    <w:link w:val="BodycopyChar"/>
    <w:qFormat/>
    <w:rsid w:val="00745992"/>
    <w:pPr>
      <w:spacing w:line="220" w:lineRule="exact"/>
    </w:pPr>
    <w:rPr>
      <w:rFonts w:ascii="Arial" w:eastAsia="Times" w:hAnsi="Arial" w:cs="Times New Roman"/>
      <w:sz w:val="19"/>
      <w:szCs w:val="20"/>
      <w:lang w:val="en-GB"/>
    </w:rPr>
  </w:style>
  <w:style w:type="character" w:customStyle="1" w:styleId="BodycopyChar">
    <w:name w:val="Body copy Char"/>
    <w:link w:val="Bodycopy"/>
    <w:rsid w:val="00745992"/>
    <w:rPr>
      <w:rFonts w:ascii="Arial" w:eastAsia="Times" w:hAnsi="Arial" w:cs="Times New Roman"/>
      <w:sz w:val="19"/>
      <w:szCs w:val="20"/>
    </w:rPr>
  </w:style>
  <w:style w:type="paragraph" w:customStyle="1" w:styleId="TableText8pt">
    <w:name w:val="Table Text 8pt"/>
    <w:basedOn w:val="Normal"/>
    <w:qFormat/>
    <w:rsid w:val="00094C4B"/>
    <w:pPr>
      <w:spacing w:after="0" w:line="220" w:lineRule="atLeast"/>
    </w:pPr>
    <w:rPr>
      <w:sz w:val="16"/>
      <w:lang w:val="en-GB"/>
    </w:rPr>
  </w:style>
  <w:style w:type="paragraph" w:customStyle="1" w:styleId="HeadingoneCharCharCharCharCharChar">
    <w:name w:val="Heading one Char Char Char Char Char Char"/>
    <w:basedOn w:val="Ttulo1"/>
    <w:link w:val="HeadingoneCharCharCharCharCharCharChar"/>
    <w:rsid w:val="009531D9"/>
    <w:pPr>
      <w:keepLines w:val="0"/>
      <w:spacing w:after="160" w:line="640" w:lineRule="exact"/>
      <w:ind w:left="601" w:hanging="601"/>
    </w:pPr>
    <w:rPr>
      <w:rFonts w:ascii="Times New Roman" w:eastAsia="Times" w:hAnsi="Times New Roman" w:cs="Times New Roman"/>
      <w:b w:val="0"/>
      <w:bCs w:val="0"/>
      <w:noProof/>
      <w:color w:val="000066"/>
      <w:kern w:val="32"/>
      <w:sz w:val="60"/>
      <w:szCs w:val="20"/>
      <w:lang w:val="en-GB"/>
    </w:rPr>
  </w:style>
  <w:style w:type="character" w:customStyle="1" w:styleId="HeadingoneCharCharCharCharCharCharChar">
    <w:name w:val="Heading one Char Char Char Char Char Char Char"/>
    <w:link w:val="HeadingoneCharCharCharCharCharChar"/>
    <w:rsid w:val="009531D9"/>
    <w:rPr>
      <w:rFonts w:ascii="Times New Roman" w:eastAsia="Times" w:hAnsi="Times New Roman" w:cs="Times New Roman"/>
      <w:noProof/>
      <w:color w:val="000066"/>
      <w:kern w:val="32"/>
      <w:sz w:val="60"/>
      <w:szCs w:val="20"/>
    </w:rPr>
  </w:style>
  <w:style w:type="paragraph" w:customStyle="1" w:styleId="TableTextBold8ptBold">
    <w:name w:val="Table Text Bold 8pt Bold"/>
    <w:basedOn w:val="TableText8pt"/>
    <w:qFormat/>
    <w:rsid w:val="00022F93"/>
    <w:rPr>
      <w:b/>
    </w:rPr>
  </w:style>
  <w:style w:type="paragraph" w:styleId="Sinespaciado">
    <w:name w:val="No Spacing"/>
    <w:link w:val="SinespaciadoCar"/>
    <w:uiPriority w:val="1"/>
    <w:qFormat/>
    <w:rsid w:val="00022F93"/>
    <w:pPr>
      <w:spacing w:after="0" w:line="240" w:lineRule="auto"/>
      <w:ind w:left="567"/>
    </w:pPr>
    <w:rPr>
      <w:rFonts w:ascii="L Frutiger Light" w:eastAsia="Times" w:hAnsi="L Frutiger Light" w:cs="Times New Roman"/>
      <w:sz w:val="20"/>
      <w:szCs w:val="20"/>
    </w:rPr>
  </w:style>
  <w:style w:type="paragraph" w:customStyle="1" w:styleId="TablePersonInfo">
    <w:name w:val="Table Person Info"/>
    <w:basedOn w:val="Normal"/>
    <w:rsid w:val="00024AA1"/>
    <w:pPr>
      <w:tabs>
        <w:tab w:val="left" w:pos="170"/>
      </w:tabs>
      <w:spacing w:before="60" w:after="60" w:line="240" w:lineRule="auto"/>
      <w:ind w:left="851" w:hanging="851"/>
    </w:pPr>
    <w:rPr>
      <w:rFonts w:ascii="Arial" w:eastAsia="Times" w:hAnsi="Arial" w:cs="Times New Roman"/>
      <w:color w:val="000000"/>
      <w:sz w:val="16"/>
      <w:szCs w:val="16"/>
      <w:lang w:val="fr-FR"/>
    </w:rPr>
  </w:style>
  <w:style w:type="table" w:customStyle="1" w:styleId="Style21">
    <w:name w:val="Style21"/>
    <w:basedOn w:val="Tablanormal"/>
    <w:uiPriority w:val="99"/>
    <w:rsid w:val="009A6AAF"/>
    <w:pPr>
      <w:spacing w:after="0" w:line="240" w:lineRule="auto"/>
    </w:pPr>
    <w:tblPr>
      <w:tblStyleRowBandSize w:val="1"/>
    </w:tblPr>
    <w:tcPr>
      <w:tcMar>
        <w:top w:w="28" w:type="dxa"/>
        <w:left w:w="57" w:type="dxa"/>
        <w:bottom w:w="28" w:type="dxa"/>
        <w:right w:w="57" w:type="dxa"/>
      </w:tcMar>
    </w:tcPr>
    <w:tblStylePr w:type="firstRow">
      <w:tblPr/>
      <w:tcPr>
        <w:shd w:val="clear" w:color="auto" w:fill="00A3E0" w:themeFill="accent3"/>
      </w:tcPr>
    </w:tblStylePr>
    <w:tblStylePr w:type="band2Horz">
      <w:tblPr/>
      <w:tcPr>
        <w:shd w:val="clear" w:color="auto" w:fill="D0CECE" w:themeFill="background2" w:themeFillShade="E6"/>
      </w:tcPr>
    </w:tblStylePr>
  </w:style>
  <w:style w:type="table" w:customStyle="1" w:styleId="DeloitteTableGrid1">
    <w:name w:val="Deloitte Table Grid1"/>
    <w:basedOn w:val="Tablanormal"/>
    <w:next w:val="Tablaconcuadrcula"/>
    <w:uiPriority w:val="59"/>
    <w:rsid w:val="0067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White8pt">
    <w:name w:val="Table Header Text (White) 8pt"/>
    <w:basedOn w:val="Normal"/>
    <w:qFormat/>
    <w:rsid w:val="00412F94"/>
    <w:pPr>
      <w:spacing w:after="60" w:line="220" w:lineRule="atLeast"/>
    </w:pPr>
    <w:rPr>
      <w:b/>
      <w:color w:val="FFFFFF" w:themeColor="background1"/>
      <w:sz w:val="16"/>
      <w:lang w:val="en-GB"/>
    </w:rPr>
  </w:style>
  <w:style w:type="table" w:customStyle="1" w:styleId="Style2">
    <w:name w:val="Style2"/>
    <w:basedOn w:val="Tablanormal"/>
    <w:uiPriority w:val="99"/>
    <w:rsid w:val="00412F94"/>
    <w:pPr>
      <w:spacing w:after="0" w:line="240" w:lineRule="auto"/>
    </w:pPr>
    <w:tblPr>
      <w:tblStyleRowBandSize w:val="1"/>
    </w:tblPr>
    <w:tcPr>
      <w:tcMar>
        <w:top w:w="28" w:type="dxa"/>
        <w:left w:w="57" w:type="dxa"/>
        <w:bottom w:w="28" w:type="dxa"/>
        <w:right w:w="57" w:type="dxa"/>
      </w:tcMar>
    </w:tcPr>
    <w:tblStylePr w:type="firstRow">
      <w:tblPr/>
      <w:tcPr>
        <w:shd w:val="clear" w:color="auto" w:fill="00A3E0" w:themeFill="accent3"/>
      </w:tcPr>
    </w:tblStylePr>
    <w:tblStylePr w:type="band2Horz">
      <w:tblPr/>
      <w:tcPr>
        <w:shd w:val="clear" w:color="auto" w:fill="D0CECE" w:themeFill="background2" w:themeFillShade="E6"/>
      </w:tcPr>
    </w:tblStylePr>
  </w:style>
  <w:style w:type="table" w:customStyle="1" w:styleId="DeloitteTableGrid2">
    <w:name w:val="Deloitte Table Grid2"/>
    <w:basedOn w:val="Tablanormal"/>
    <w:next w:val="Tablaconcuadrcula"/>
    <w:uiPriority w:val="59"/>
    <w:rsid w:val="005E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1-Last">
    <w:name w:val="Bulleted text 1 - Last"/>
    <w:basedOn w:val="BulletedText1"/>
    <w:qFormat/>
    <w:rsid w:val="005E3E2F"/>
    <w:pPr>
      <w:numPr>
        <w:numId w:val="0"/>
      </w:numPr>
      <w:tabs>
        <w:tab w:val="num" w:pos="360"/>
      </w:tabs>
      <w:spacing w:after="120"/>
      <w:ind w:left="173" w:hanging="173"/>
    </w:pPr>
  </w:style>
  <w:style w:type="paragraph" w:customStyle="1" w:styleId="Quote1">
    <w:name w:val="Quote 1"/>
    <w:basedOn w:val="Cita"/>
    <w:rsid w:val="005E3E2F"/>
    <w:pPr>
      <w:spacing w:before="0" w:after="0" w:line="280" w:lineRule="exact"/>
      <w:ind w:left="85" w:right="0" w:hanging="85"/>
      <w:jc w:val="left"/>
    </w:pPr>
    <w:rPr>
      <w:rFonts w:ascii="Times New Roman" w:eastAsia="Times" w:hAnsi="Times New Roman" w:cs="Times New Roman"/>
      <w:b/>
      <w:i w:val="0"/>
      <w:iCs w:val="0"/>
      <w:color w:val="000066"/>
      <w:sz w:val="24"/>
      <w:szCs w:val="20"/>
    </w:rPr>
  </w:style>
  <w:style w:type="paragraph" w:styleId="Cita">
    <w:name w:val="Quote"/>
    <w:basedOn w:val="Normal"/>
    <w:next w:val="Normal"/>
    <w:link w:val="CitaCar"/>
    <w:uiPriority w:val="29"/>
    <w:qFormat/>
    <w:rsid w:val="005E3E2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E3E2F"/>
    <w:rPr>
      <w:i/>
      <w:iCs/>
      <w:color w:val="404040" w:themeColor="text1" w:themeTint="BF"/>
      <w:sz w:val="18"/>
      <w:lang w:val="en-US"/>
    </w:rPr>
  </w:style>
  <w:style w:type="paragraph" w:customStyle="1" w:styleId="BulletedText2">
    <w:name w:val="Bulleted Text 2"/>
    <w:basedOn w:val="Normal"/>
    <w:qFormat/>
    <w:rsid w:val="00D03E99"/>
    <w:pPr>
      <w:numPr>
        <w:numId w:val="10"/>
      </w:numPr>
      <w:spacing w:after="0" w:line="250" w:lineRule="atLeast"/>
    </w:pPr>
    <w:rPr>
      <w:lang w:val="en-GB"/>
    </w:rPr>
  </w:style>
  <w:style w:type="paragraph" w:customStyle="1" w:styleId="Address">
    <w:name w:val="Address"/>
    <w:basedOn w:val="Normal"/>
    <w:rsid w:val="00B272C6"/>
    <w:pPr>
      <w:spacing w:after="0" w:line="240" w:lineRule="auto"/>
    </w:pPr>
    <w:rPr>
      <w:rFonts w:ascii="Roman 10cpi" w:eastAsia="Times New Roman" w:hAnsi="Roman 10cpi" w:cs="Times New Roman"/>
      <w:sz w:val="24"/>
      <w:szCs w:val="20"/>
      <w:lang w:val="es-VE"/>
    </w:rPr>
  </w:style>
  <w:style w:type="paragraph" w:styleId="NormalWeb">
    <w:name w:val="Normal (Web)"/>
    <w:basedOn w:val="Normal"/>
    <w:uiPriority w:val="99"/>
    <w:unhideWhenUsed/>
    <w:rsid w:val="00BE7949"/>
    <w:pPr>
      <w:spacing w:before="100" w:beforeAutospacing="1" w:after="100" w:afterAutospacing="1" w:line="240" w:lineRule="auto"/>
    </w:pPr>
    <w:rPr>
      <w:rFonts w:ascii="Times New Roman" w:eastAsiaTheme="minorEastAsia" w:hAnsi="Times New Roman" w:cs="Times New Roman"/>
      <w:sz w:val="24"/>
      <w:szCs w:val="24"/>
    </w:rPr>
  </w:style>
  <w:style w:type="table" w:styleId="Tabladelista3-nfasis3">
    <w:name w:val="List Table 3 Accent 3"/>
    <w:basedOn w:val="Tablanormal"/>
    <w:uiPriority w:val="48"/>
    <w:rsid w:val="005D450D"/>
    <w:pPr>
      <w:spacing w:after="0" w:line="240" w:lineRule="auto"/>
    </w:pPr>
    <w:tblPr>
      <w:tblStyleRowBandSize w:val="1"/>
      <w:tblStyleColBandSize w:val="1"/>
      <w:tblBorders>
        <w:top w:val="single" w:sz="4" w:space="0" w:color="00A3E0" w:themeColor="accent3"/>
        <w:left w:val="single" w:sz="4" w:space="0" w:color="00A3E0" w:themeColor="accent3"/>
        <w:bottom w:val="single" w:sz="4" w:space="0" w:color="00A3E0" w:themeColor="accent3"/>
        <w:right w:val="single" w:sz="4" w:space="0" w:color="00A3E0" w:themeColor="accent3"/>
      </w:tblBorders>
    </w:tblPr>
    <w:tblStylePr w:type="firstRow">
      <w:rPr>
        <w:b/>
        <w:bCs/>
        <w:color w:val="FFFFFF" w:themeColor="background1"/>
      </w:rPr>
      <w:tblPr/>
      <w:tcPr>
        <w:shd w:val="clear" w:color="auto" w:fill="00A3E0" w:themeFill="accent3"/>
      </w:tcPr>
    </w:tblStylePr>
    <w:tblStylePr w:type="lastRow">
      <w:rPr>
        <w:b/>
        <w:bCs/>
      </w:rPr>
      <w:tblPr/>
      <w:tcPr>
        <w:tcBorders>
          <w:top w:val="double" w:sz="4" w:space="0" w:color="00A3E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3E0" w:themeColor="accent3"/>
          <w:right w:val="single" w:sz="4" w:space="0" w:color="00A3E0" w:themeColor="accent3"/>
        </w:tcBorders>
      </w:tcPr>
    </w:tblStylePr>
    <w:tblStylePr w:type="band1Horz">
      <w:tblPr/>
      <w:tcPr>
        <w:tcBorders>
          <w:top w:val="single" w:sz="4" w:space="0" w:color="00A3E0" w:themeColor="accent3"/>
          <w:bottom w:val="single" w:sz="4" w:space="0" w:color="00A3E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3E0" w:themeColor="accent3"/>
          <w:left w:val="nil"/>
        </w:tcBorders>
      </w:tcPr>
    </w:tblStylePr>
    <w:tblStylePr w:type="swCell">
      <w:tblPr/>
      <w:tcPr>
        <w:tcBorders>
          <w:top w:val="double" w:sz="4" w:space="0" w:color="00A3E0" w:themeColor="accent3"/>
          <w:right w:val="nil"/>
        </w:tcBorders>
      </w:tcPr>
    </w:tblStylePr>
  </w:style>
  <w:style w:type="paragraph" w:customStyle="1" w:styleId="TableEntry">
    <w:name w:val="Table Entry"/>
    <w:basedOn w:val="Normal"/>
    <w:rsid w:val="00D006D4"/>
    <w:pPr>
      <w:keepNext/>
      <w:spacing w:before="60" w:after="60" w:line="240" w:lineRule="auto"/>
      <w:outlineLvl w:val="2"/>
    </w:pPr>
    <w:rPr>
      <w:rFonts w:ascii="Arial" w:eastAsia="Times" w:hAnsi="Arial" w:cs="Times New Roman"/>
      <w:noProof/>
      <w:color w:val="000000"/>
      <w:sz w:val="16"/>
      <w:szCs w:val="24"/>
      <w:lang w:val="es-CR"/>
    </w:rPr>
  </w:style>
  <w:style w:type="paragraph" w:customStyle="1" w:styleId="Deloitteaddress">
    <w:name w:val="Deloitte address"/>
    <w:basedOn w:val="Normal"/>
    <w:qFormat/>
    <w:rsid w:val="00122CE1"/>
    <w:pPr>
      <w:spacing w:after="0" w:line="170" w:lineRule="atLeast"/>
    </w:pPr>
    <w:rPr>
      <w:sz w:val="14"/>
    </w:rPr>
  </w:style>
  <w:style w:type="table" w:customStyle="1" w:styleId="TableGrid1">
    <w:name w:val="Table Grid1"/>
    <w:basedOn w:val="Tablanormal"/>
    <w:next w:val="Tablaconcuadrcula"/>
    <w:uiPriority w:val="59"/>
    <w:rsid w:val="00A41DE4"/>
    <w:pPr>
      <w:spacing w:after="0" w:line="240" w:lineRule="auto"/>
    </w:pPr>
    <w:tblPr/>
  </w:style>
  <w:style w:type="paragraph" w:customStyle="1" w:styleId="5TabletextDBlonW">
    <w:name w:val="5. Table text DBl on W"/>
    <w:basedOn w:val="Normal"/>
    <w:qFormat/>
    <w:rsid w:val="00A41DE4"/>
    <w:pPr>
      <w:widowControl w:val="0"/>
      <w:numPr>
        <w:numId w:val="11"/>
      </w:numPr>
      <w:tabs>
        <w:tab w:val="left" w:pos="85"/>
      </w:tabs>
      <w:suppressAutoHyphens/>
      <w:autoSpaceDE w:val="0"/>
      <w:autoSpaceDN w:val="0"/>
      <w:adjustRightInd w:val="0"/>
      <w:spacing w:after="40" w:line="150" w:lineRule="atLeast"/>
      <w:ind w:left="85" w:hanging="85"/>
      <w:textAlignment w:val="baseline"/>
    </w:pPr>
    <w:rPr>
      <w:rFonts w:ascii="Arial" w:eastAsia="MS PGothic" w:hAnsi="Arial" w:cs="FrutigerNextPro-Light"/>
      <w:color w:val="000000"/>
      <w:spacing w:val="-1"/>
      <w:sz w:val="13"/>
      <w:szCs w:val="17"/>
      <w:lang w:val="en-GB" w:eastAsia="ja-JP"/>
    </w:rPr>
  </w:style>
  <w:style w:type="table" w:styleId="Tabladelista7concolores-nfasis1">
    <w:name w:val="List Table 7 Colorful Accent 1"/>
    <w:basedOn w:val="Tablanormal"/>
    <w:uiPriority w:val="52"/>
    <w:rsid w:val="0057414D"/>
    <w:pPr>
      <w:spacing w:after="0" w:line="240" w:lineRule="auto"/>
    </w:pPr>
    <w:rPr>
      <w:color w:val="638C1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2">
    <w:name w:val="List Table 6 Colorful Accent 2"/>
    <w:basedOn w:val="Tablanormal"/>
    <w:uiPriority w:val="51"/>
    <w:rsid w:val="0057414D"/>
    <w:pPr>
      <w:spacing w:after="0" w:line="240" w:lineRule="auto"/>
    </w:pPr>
    <w:rPr>
      <w:color w:val="213D26" w:themeColor="accent2" w:themeShade="BF"/>
    </w:rPr>
    <w:tblPr>
      <w:tblStyleRowBandSize w:val="1"/>
      <w:tblStyleColBandSize w:val="1"/>
      <w:tblBorders>
        <w:top w:val="single" w:sz="4" w:space="0" w:color="2C5234" w:themeColor="accent2"/>
        <w:bottom w:val="single" w:sz="4" w:space="0" w:color="2C5234" w:themeColor="accent2"/>
      </w:tblBorders>
    </w:tblPr>
    <w:tblStylePr w:type="firstRow">
      <w:rPr>
        <w:b/>
        <w:bCs/>
      </w:rPr>
      <w:tblPr/>
      <w:tcPr>
        <w:tcBorders>
          <w:bottom w:val="single" w:sz="4" w:space="0" w:color="2C5234" w:themeColor="accent2"/>
        </w:tcBorders>
      </w:tcPr>
    </w:tblStylePr>
    <w:tblStylePr w:type="lastRow">
      <w:rPr>
        <w:b/>
        <w:bCs/>
      </w:rPr>
      <w:tblPr/>
      <w:tcPr>
        <w:tcBorders>
          <w:top w:val="double" w:sz="4" w:space="0" w:color="2C5234" w:themeColor="accent2"/>
        </w:tcBorders>
      </w:tcPr>
    </w:tblStylePr>
    <w:tblStylePr w:type="firstCol">
      <w:rPr>
        <w:b/>
        <w:bCs/>
      </w:rPr>
    </w:tblStylePr>
    <w:tblStylePr w:type="lastCol">
      <w:rPr>
        <w:b/>
        <w:bCs/>
      </w:rPr>
    </w:tblStylePr>
    <w:tblStylePr w:type="band1Vert">
      <w:tblPr/>
      <w:tcPr>
        <w:shd w:val="clear" w:color="auto" w:fill="CCE4D1" w:themeFill="accent2" w:themeFillTint="33"/>
      </w:tcPr>
    </w:tblStylePr>
    <w:tblStylePr w:type="band1Horz">
      <w:tblPr/>
      <w:tcPr>
        <w:shd w:val="clear" w:color="auto" w:fill="CCE4D1" w:themeFill="accent2" w:themeFillTint="33"/>
      </w:tcPr>
    </w:tblStylePr>
  </w:style>
  <w:style w:type="table" w:styleId="Tabladelista6concolores-nfasis3">
    <w:name w:val="List Table 6 Colorful Accent 3"/>
    <w:basedOn w:val="Tablanormal"/>
    <w:uiPriority w:val="51"/>
    <w:rsid w:val="0057414D"/>
    <w:pPr>
      <w:spacing w:after="0" w:line="240" w:lineRule="auto"/>
    </w:pPr>
    <w:rPr>
      <w:color w:val="0079A7" w:themeColor="accent3" w:themeShade="BF"/>
    </w:rPr>
    <w:tblPr>
      <w:tblStyleRowBandSize w:val="1"/>
      <w:tblStyleColBandSize w:val="1"/>
      <w:tblBorders>
        <w:top w:val="single" w:sz="4" w:space="0" w:color="00A3E0" w:themeColor="accent3"/>
        <w:bottom w:val="single" w:sz="4" w:space="0" w:color="00A3E0" w:themeColor="accent3"/>
      </w:tblBorders>
    </w:tblPr>
    <w:tblStylePr w:type="firstRow">
      <w:rPr>
        <w:b/>
        <w:bCs/>
      </w:rPr>
      <w:tblPr/>
      <w:tcPr>
        <w:tcBorders>
          <w:bottom w:val="single" w:sz="4" w:space="0" w:color="00A3E0" w:themeColor="accent3"/>
        </w:tcBorders>
      </w:tcPr>
    </w:tblStylePr>
    <w:tblStylePr w:type="lastRow">
      <w:rPr>
        <w:b/>
        <w:bCs/>
      </w:rPr>
      <w:tblPr/>
      <w:tcPr>
        <w:tcBorders>
          <w:top w:val="double" w:sz="4" w:space="0" w:color="00A3E0" w:themeColor="accent3"/>
        </w:tcBorders>
      </w:tcPr>
    </w:tblStylePr>
    <w:tblStylePr w:type="firstCol">
      <w:rPr>
        <w:b/>
        <w:bCs/>
      </w:rPr>
    </w:tblStylePr>
    <w:tblStylePr w:type="lastCol">
      <w:rPr>
        <w:b/>
        <w:bCs/>
      </w:rPr>
    </w:tblStylePr>
    <w:tblStylePr w:type="band1Vert">
      <w:tblPr/>
      <w:tcPr>
        <w:shd w:val="clear" w:color="auto" w:fill="C5EFFF" w:themeFill="accent3" w:themeFillTint="33"/>
      </w:tcPr>
    </w:tblStylePr>
    <w:tblStylePr w:type="band1Horz">
      <w:tblPr/>
      <w:tcPr>
        <w:shd w:val="clear" w:color="auto" w:fill="C5EFFF" w:themeFill="accent3" w:themeFillTint="33"/>
      </w:tcPr>
    </w:tblStylePr>
  </w:style>
  <w:style w:type="table" w:styleId="Tabladelista6concolores-nfasis1">
    <w:name w:val="List Table 6 Colorful Accent 1"/>
    <w:basedOn w:val="Tablanormal"/>
    <w:uiPriority w:val="51"/>
    <w:rsid w:val="0057414D"/>
    <w:pPr>
      <w:spacing w:after="0" w:line="240" w:lineRule="auto"/>
    </w:pPr>
    <w:rPr>
      <w:color w:val="638C1B" w:themeColor="accent1" w:themeShade="BF"/>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Deloittetable2">
    <w:name w:val="Deloitte table2"/>
    <w:basedOn w:val="Tablanormal"/>
    <w:uiPriority w:val="99"/>
    <w:rsid w:val="00B37D49"/>
    <w:pPr>
      <w:spacing w:after="0" w:line="240" w:lineRule="auto"/>
    </w:pPr>
    <w:rPr>
      <w:sz w:val="17"/>
    </w:rPr>
    <w:tblPr>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styleId="Textonotaalfinal">
    <w:name w:val="endnote text"/>
    <w:basedOn w:val="Normal"/>
    <w:link w:val="TextonotaalfinalCar"/>
    <w:uiPriority w:val="99"/>
    <w:semiHidden/>
    <w:rsid w:val="00947F4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7F4C"/>
    <w:rPr>
      <w:sz w:val="20"/>
      <w:szCs w:val="20"/>
      <w:lang w:val="en-US"/>
    </w:rPr>
  </w:style>
  <w:style w:type="character" w:styleId="Refdenotaalfinal">
    <w:name w:val="endnote reference"/>
    <w:basedOn w:val="Fuentedeprrafopredeter"/>
    <w:uiPriority w:val="99"/>
    <w:semiHidden/>
    <w:rsid w:val="00947F4C"/>
    <w:rPr>
      <w:vertAlign w:val="superscript"/>
    </w:rPr>
  </w:style>
  <w:style w:type="character" w:styleId="Refdecomentario">
    <w:name w:val="annotation reference"/>
    <w:basedOn w:val="Fuentedeprrafopredeter"/>
    <w:uiPriority w:val="99"/>
    <w:semiHidden/>
    <w:rsid w:val="00483074"/>
    <w:rPr>
      <w:sz w:val="16"/>
      <w:szCs w:val="16"/>
    </w:rPr>
  </w:style>
  <w:style w:type="paragraph" w:styleId="Textocomentario">
    <w:name w:val="annotation text"/>
    <w:basedOn w:val="Normal"/>
    <w:link w:val="TextocomentarioCar"/>
    <w:uiPriority w:val="99"/>
    <w:rsid w:val="00483074"/>
    <w:pPr>
      <w:spacing w:line="240" w:lineRule="auto"/>
    </w:pPr>
    <w:rPr>
      <w:sz w:val="20"/>
      <w:szCs w:val="20"/>
    </w:rPr>
  </w:style>
  <w:style w:type="character" w:customStyle="1" w:styleId="TextocomentarioCar">
    <w:name w:val="Texto comentario Car"/>
    <w:basedOn w:val="Fuentedeprrafopredeter"/>
    <w:link w:val="Textocomentario"/>
    <w:uiPriority w:val="99"/>
    <w:rsid w:val="00483074"/>
    <w:rPr>
      <w:sz w:val="20"/>
      <w:szCs w:val="20"/>
      <w:lang w:val="en-US"/>
    </w:rPr>
  </w:style>
  <w:style w:type="paragraph" w:styleId="Asuntodelcomentario">
    <w:name w:val="annotation subject"/>
    <w:basedOn w:val="Textocomentario"/>
    <w:next w:val="Textocomentario"/>
    <w:link w:val="AsuntodelcomentarioCar"/>
    <w:uiPriority w:val="99"/>
    <w:semiHidden/>
    <w:rsid w:val="00483074"/>
    <w:rPr>
      <w:b/>
      <w:bCs/>
    </w:rPr>
  </w:style>
  <w:style w:type="character" w:customStyle="1" w:styleId="AsuntodelcomentarioCar">
    <w:name w:val="Asunto del comentario Car"/>
    <w:basedOn w:val="TextocomentarioCar"/>
    <w:link w:val="Asuntodelcomentario"/>
    <w:uiPriority w:val="99"/>
    <w:semiHidden/>
    <w:rsid w:val="00483074"/>
    <w:rPr>
      <w:b/>
      <w:bCs/>
      <w:sz w:val="20"/>
      <w:szCs w:val="20"/>
      <w:lang w:val="en-US"/>
    </w:rPr>
  </w:style>
  <w:style w:type="paragraph" w:styleId="Revisin">
    <w:name w:val="Revision"/>
    <w:hidden/>
    <w:uiPriority w:val="99"/>
    <w:semiHidden/>
    <w:rsid w:val="00774C48"/>
    <w:pPr>
      <w:spacing w:after="0" w:line="240" w:lineRule="auto"/>
    </w:pPr>
    <w:rPr>
      <w:sz w:val="18"/>
      <w:lang w:val="en-US"/>
    </w:rPr>
  </w:style>
  <w:style w:type="character" w:styleId="Hipervnculovisitado">
    <w:name w:val="FollowedHyperlink"/>
    <w:basedOn w:val="Fuentedeprrafopredeter"/>
    <w:uiPriority w:val="99"/>
    <w:semiHidden/>
    <w:rsid w:val="0058078A"/>
    <w:rPr>
      <w:color w:val="954F72" w:themeColor="followedHyperlink"/>
      <w:u w:val="single"/>
    </w:rPr>
  </w:style>
  <w:style w:type="paragraph" w:customStyle="1" w:styleId="Default">
    <w:name w:val="Default"/>
    <w:rsid w:val="00CB7793"/>
    <w:pPr>
      <w:autoSpaceDE w:val="0"/>
      <w:autoSpaceDN w:val="0"/>
      <w:adjustRightInd w:val="0"/>
      <w:spacing w:after="0" w:line="240" w:lineRule="auto"/>
    </w:pPr>
    <w:rPr>
      <w:rFonts w:ascii="Times New Roman" w:hAnsi="Times New Roman" w:cs="Times New Roman"/>
      <w:color w:val="000000"/>
      <w:sz w:val="24"/>
      <w:szCs w:val="24"/>
      <w:lang w:val="es-DO"/>
    </w:rPr>
  </w:style>
  <w:style w:type="character" w:customStyle="1" w:styleId="UnresolvedMention1">
    <w:name w:val="Unresolved Mention1"/>
    <w:basedOn w:val="Fuentedeprrafopredeter"/>
    <w:uiPriority w:val="99"/>
    <w:semiHidden/>
    <w:unhideWhenUsed/>
    <w:rsid w:val="004568D1"/>
    <w:rPr>
      <w:color w:val="605E5C"/>
      <w:shd w:val="clear" w:color="auto" w:fill="E1DFDD"/>
    </w:rPr>
  </w:style>
  <w:style w:type="character" w:styleId="Textoennegrita">
    <w:name w:val="Strong"/>
    <w:basedOn w:val="Fuentedeprrafopredeter"/>
    <w:uiPriority w:val="22"/>
    <w:qFormat/>
    <w:rsid w:val="00E90F6E"/>
    <w:rPr>
      <w:b/>
      <w:bCs/>
    </w:rPr>
  </w:style>
  <w:style w:type="character" w:customStyle="1" w:styleId="PrrafodelistaCar">
    <w:name w:val="Párrafo de lista Car"/>
    <w:link w:val="Prrafodelista"/>
    <w:uiPriority w:val="34"/>
    <w:rsid w:val="009A0304"/>
    <w:rPr>
      <w:sz w:val="18"/>
      <w:lang w:val="es-DO"/>
    </w:rPr>
  </w:style>
  <w:style w:type="character" w:styleId="Mencinsinresolver">
    <w:name w:val="Unresolved Mention"/>
    <w:basedOn w:val="Fuentedeprrafopredeter"/>
    <w:uiPriority w:val="99"/>
    <w:semiHidden/>
    <w:unhideWhenUsed/>
    <w:rsid w:val="004F5B91"/>
    <w:rPr>
      <w:color w:val="605E5C"/>
      <w:shd w:val="clear" w:color="auto" w:fill="E1DFDD"/>
    </w:rPr>
  </w:style>
  <w:style w:type="character" w:customStyle="1" w:styleId="SinespaciadoCar">
    <w:name w:val="Sin espaciado Car"/>
    <w:basedOn w:val="Fuentedeprrafopredeter"/>
    <w:link w:val="Sinespaciado"/>
    <w:uiPriority w:val="1"/>
    <w:rsid w:val="00D162D7"/>
    <w:rPr>
      <w:rFonts w:ascii="L Frutiger Light" w:eastAsia="Times" w:hAnsi="L Frutiger Light" w:cs="Times New Roman"/>
      <w:sz w:val="20"/>
      <w:szCs w:val="20"/>
    </w:rPr>
  </w:style>
  <w:style w:type="paragraph" w:customStyle="1" w:styleId="02Bodytext">
    <w:name w:val="02. Bodytext"/>
    <w:qFormat/>
    <w:rsid w:val="003B4845"/>
    <w:pPr>
      <w:widowControl w:val="0"/>
      <w:suppressAutoHyphens/>
      <w:autoSpaceDE w:val="0"/>
      <w:autoSpaceDN w:val="0"/>
      <w:adjustRightInd w:val="0"/>
      <w:spacing w:after="120" w:line="240" w:lineRule="exact"/>
      <w:textAlignment w:val="baseline"/>
    </w:pPr>
    <w:rPr>
      <w:rFonts w:ascii="Arial" w:eastAsia="MS PGothic" w:hAnsi="Arial" w:cs="FrutigerNextPro-Light"/>
      <w:color w:val="000000"/>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819">
      <w:bodyDiv w:val="1"/>
      <w:marLeft w:val="0"/>
      <w:marRight w:val="0"/>
      <w:marTop w:val="0"/>
      <w:marBottom w:val="0"/>
      <w:divBdr>
        <w:top w:val="none" w:sz="0" w:space="0" w:color="auto"/>
        <w:left w:val="none" w:sz="0" w:space="0" w:color="auto"/>
        <w:bottom w:val="none" w:sz="0" w:space="0" w:color="auto"/>
        <w:right w:val="none" w:sz="0" w:space="0" w:color="auto"/>
      </w:divBdr>
    </w:div>
    <w:div w:id="108428639">
      <w:bodyDiv w:val="1"/>
      <w:marLeft w:val="0"/>
      <w:marRight w:val="0"/>
      <w:marTop w:val="0"/>
      <w:marBottom w:val="0"/>
      <w:divBdr>
        <w:top w:val="none" w:sz="0" w:space="0" w:color="auto"/>
        <w:left w:val="none" w:sz="0" w:space="0" w:color="auto"/>
        <w:bottom w:val="none" w:sz="0" w:space="0" w:color="auto"/>
        <w:right w:val="none" w:sz="0" w:space="0" w:color="auto"/>
      </w:divBdr>
    </w:div>
    <w:div w:id="153956026">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80320831">
      <w:bodyDiv w:val="1"/>
      <w:marLeft w:val="0"/>
      <w:marRight w:val="0"/>
      <w:marTop w:val="0"/>
      <w:marBottom w:val="0"/>
      <w:divBdr>
        <w:top w:val="none" w:sz="0" w:space="0" w:color="auto"/>
        <w:left w:val="none" w:sz="0" w:space="0" w:color="auto"/>
        <w:bottom w:val="none" w:sz="0" w:space="0" w:color="auto"/>
        <w:right w:val="none" w:sz="0" w:space="0" w:color="auto"/>
      </w:divBdr>
      <w:divsChild>
        <w:div w:id="966005031">
          <w:marLeft w:val="547"/>
          <w:marRight w:val="0"/>
          <w:marTop w:val="0"/>
          <w:marBottom w:val="0"/>
          <w:divBdr>
            <w:top w:val="none" w:sz="0" w:space="0" w:color="auto"/>
            <w:left w:val="none" w:sz="0" w:space="0" w:color="auto"/>
            <w:bottom w:val="none" w:sz="0" w:space="0" w:color="auto"/>
            <w:right w:val="none" w:sz="0" w:space="0" w:color="auto"/>
          </w:divBdr>
        </w:div>
      </w:divsChild>
    </w:div>
    <w:div w:id="242490382">
      <w:bodyDiv w:val="1"/>
      <w:marLeft w:val="0"/>
      <w:marRight w:val="0"/>
      <w:marTop w:val="0"/>
      <w:marBottom w:val="0"/>
      <w:divBdr>
        <w:top w:val="none" w:sz="0" w:space="0" w:color="auto"/>
        <w:left w:val="none" w:sz="0" w:space="0" w:color="auto"/>
        <w:bottom w:val="none" w:sz="0" w:space="0" w:color="auto"/>
        <w:right w:val="none" w:sz="0" w:space="0" w:color="auto"/>
      </w:divBdr>
    </w:div>
    <w:div w:id="265844847">
      <w:bodyDiv w:val="1"/>
      <w:marLeft w:val="0"/>
      <w:marRight w:val="0"/>
      <w:marTop w:val="0"/>
      <w:marBottom w:val="0"/>
      <w:divBdr>
        <w:top w:val="none" w:sz="0" w:space="0" w:color="auto"/>
        <w:left w:val="none" w:sz="0" w:space="0" w:color="auto"/>
        <w:bottom w:val="none" w:sz="0" w:space="0" w:color="auto"/>
        <w:right w:val="none" w:sz="0" w:space="0" w:color="auto"/>
      </w:divBdr>
    </w:div>
    <w:div w:id="268127200">
      <w:bodyDiv w:val="1"/>
      <w:marLeft w:val="0"/>
      <w:marRight w:val="0"/>
      <w:marTop w:val="0"/>
      <w:marBottom w:val="0"/>
      <w:divBdr>
        <w:top w:val="none" w:sz="0" w:space="0" w:color="auto"/>
        <w:left w:val="none" w:sz="0" w:space="0" w:color="auto"/>
        <w:bottom w:val="none" w:sz="0" w:space="0" w:color="auto"/>
        <w:right w:val="none" w:sz="0" w:space="0" w:color="auto"/>
      </w:divBdr>
    </w:div>
    <w:div w:id="304315827">
      <w:bodyDiv w:val="1"/>
      <w:marLeft w:val="0"/>
      <w:marRight w:val="0"/>
      <w:marTop w:val="0"/>
      <w:marBottom w:val="0"/>
      <w:divBdr>
        <w:top w:val="none" w:sz="0" w:space="0" w:color="auto"/>
        <w:left w:val="none" w:sz="0" w:space="0" w:color="auto"/>
        <w:bottom w:val="none" w:sz="0" w:space="0" w:color="auto"/>
        <w:right w:val="none" w:sz="0" w:space="0" w:color="auto"/>
      </w:divBdr>
    </w:div>
    <w:div w:id="323439714">
      <w:bodyDiv w:val="1"/>
      <w:marLeft w:val="0"/>
      <w:marRight w:val="0"/>
      <w:marTop w:val="0"/>
      <w:marBottom w:val="0"/>
      <w:divBdr>
        <w:top w:val="none" w:sz="0" w:space="0" w:color="auto"/>
        <w:left w:val="none" w:sz="0" w:space="0" w:color="auto"/>
        <w:bottom w:val="none" w:sz="0" w:space="0" w:color="auto"/>
        <w:right w:val="none" w:sz="0" w:space="0" w:color="auto"/>
      </w:divBdr>
    </w:div>
    <w:div w:id="346640113">
      <w:bodyDiv w:val="1"/>
      <w:marLeft w:val="0"/>
      <w:marRight w:val="0"/>
      <w:marTop w:val="0"/>
      <w:marBottom w:val="0"/>
      <w:divBdr>
        <w:top w:val="none" w:sz="0" w:space="0" w:color="auto"/>
        <w:left w:val="none" w:sz="0" w:space="0" w:color="auto"/>
        <w:bottom w:val="none" w:sz="0" w:space="0" w:color="auto"/>
        <w:right w:val="none" w:sz="0" w:space="0" w:color="auto"/>
      </w:divBdr>
    </w:div>
    <w:div w:id="355931739">
      <w:bodyDiv w:val="1"/>
      <w:marLeft w:val="0"/>
      <w:marRight w:val="0"/>
      <w:marTop w:val="0"/>
      <w:marBottom w:val="0"/>
      <w:divBdr>
        <w:top w:val="none" w:sz="0" w:space="0" w:color="auto"/>
        <w:left w:val="none" w:sz="0" w:space="0" w:color="auto"/>
        <w:bottom w:val="none" w:sz="0" w:space="0" w:color="auto"/>
        <w:right w:val="none" w:sz="0" w:space="0" w:color="auto"/>
      </w:divBdr>
    </w:div>
    <w:div w:id="399183343">
      <w:bodyDiv w:val="1"/>
      <w:marLeft w:val="0"/>
      <w:marRight w:val="0"/>
      <w:marTop w:val="0"/>
      <w:marBottom w:val="0"/>
      <w:divBdr>
        <w:top w:val="none" w:sz="0" w:space="0" w:color="auto"/>
        <w:left w:val="none" w:sz="0" w:space="0" w:color="auto"/>
        <w:bottom w:val="none" w:sz="0" w:space="0" w:color="auto"/>
        <w:right w:val="none" w:sz="0" w:space="0" w:color="auto"/>
      </w:divBdr>
    </w:div>
    <w:div w:id="436142976">
      <w:bodyDiv w:val="1"/>
      <w:marLeft w:val="0"/>
      <w:marRight w:val="0"/>
      <w:marTop w:val="0"/>
      <w:marBottom w:val="0"/>
      <w:divBdr>
        <w:top w:val="none" w:sz="0" w:space="0" w:color="auto"/>
        <w:left w:val="none" w:sz="0" w:space="0" w:color="auto"/>
        <w:bottom w:val="none" w:sz="0" w:space="0" w:color="auto"/>
        <w:right w:val="none" w:sz="0" w:space="0" w:color="auto"/>
      </w:divBdr>
    </w:div>
    <w:div w:id="463011992">
      <w:bodyDiv w:val="1"/>
      <w:marLeft w:val="0"/>
      <w:marRight w:val="0"/>
      <w:marTop w:val="0"/>
      <w:marBottom w:val="0"/>
      <w:divBdr>
        <w:top w:val="none" w:sz="0" w:space="0" w:color="auto"/>
        <w:left w:val="none" w:sz="0" w:space="0" w:color="auto"/>
        <w:bottom w:val="none" w:sz="0" w:space="0" w:color="auto"/>
        <w:right w:val="none" w:sz="0" w:space="0" w:color="auto"/>
      </w:divBdr>
    </w:div>
    <w:div w:id="466359852">
      <w:bodyDiv w:val="1"/>
      <w:marLeft w:val="0"/>
      <w:marRight w:val="0"/>
      <w:marTop w:val="0"/>
      <w:marBottom w:val="0"/>
      <w:divBdr>
        <w:top w:val="none" w:sz="0" w:space="0" w:color="auto"/>
        <w:left w:val="none" w:sz="0" w:space="0" w:color="auto"/>
        <w:bottom w:val="none" w:sz="0" w:space="0" w:color="auto"/>
        <w:right w:val="none" w:sz="0" w:space="0" w:color="auto"/>
      </w:divBdr>
    </w:div>
    <w:div w:id="509105185">
      <w:bodyDiv w:val="1"/>
      <w:marLeft w:val="0"/>
      <w:marRight w:val="0"/>
      <w:marTop w:val="0"/>
      <w:marBottom w:val="0"/>
      <w:divBdr>
        <w:top w:val="none" w:sz="0" w:space="0" w:color="auto"/>
        <w:left w:val="none" w:sz="0" w:space="0" w:color="auto"/>
        <w:bottom w:val="none" w:sz="0" w:space="0" w:color="auto"/>
        <w:right w:val="none" w:sz="0" w:space="0" w:color="auto"/>
      </w:divBdr>
    </w:div>
    <w:div w:id="529684986">
      <w:bodyDiv w:val="1"/>
      <w:marLeft w:val="0"/>
      <w:marRight w:val="0"/>
      <w:marTop w:val="0"/>
      <w:marBottom w:val="0"/>
      <w:divBdr>
        <w:top w:val="none" w:sz="0" w:space="0" w:color="auto"/>
        <w:left w:val="none" w:sz="0" w:space="0" w:color="auto"/>
        <w:bottom w:val="none" w:sz="0" w:space="0" w:color="auto"/>
        <w:right w:val="none" w:sz="0" w:space="0" w:color="auto"/>
      </w:divBdr>
    </w:div>
    <w:div w:id="561143196">
      <w:bodyDiv w:val="1"/>
      <w:marLeft w:val="0"/>
      <w:marRight w:val="0"/>
      <w:marTop w:val="0"/>
      <w:marBottom w:val="0"/>
      <w:divBdr>
        <w:top w:val="none" w:sz="0" w:space="0" w:color="auto"/>
        <w:left w:val="none" w:sz="0" w:space="0" w:color="auto"/>
        <w:bottom w:val="none" w:sz="0" w:space="0" w:color="auto"/>
        <w:right w:val="none" w:sz="0" w:space="0" w:color="auto"/>
      </w:divBdr>
    </w:div>
    <w:div w:id="595289586">
      <w:bodyDiv w:val="1"/>
      <w:marLeft w:val="0"/>
      <w:marRight w:val="0"/>
      <w:marTop w:val="0"/>
      <w:marBottom w:val="0"/>
      <w:divBdr>
        <w:top w:val="none" w:sz="0" w:space="0" w:color="auto"/>
        <w:left w:val="none" w:sz="0" w:space="0" w:color="auto"/>
        <w:bottom w:val="none" w:sz="0" w:space="0" w:color="auto"/>
        <w:right w:val="none" w:sz="0" w:space="0" w:color="auto"/>
      </w:divBdr>
    </w:div>
    <w:div w:id="639310748">
      <w:bodyDiv w:val="1"/>
      <w:marLeft w:val="0"/>
      <w:marRight w:val="0"/>
      <w:marTop w:val="0"/>
      <w:marBottom w:val="0"/>
      <w:divBdr>
        <w:top w:val="none" w:sz="0" w:space="0" w:color="auto"/>
        <w:left w:val="none" w:sz="0" w:space="0" w:color="auto"/>
        <w:bottom w:val="none" w:sz="0" w:space="0" w:color="auto"/>
        <w:right w:val="none" w:sz="0" w:space="0" w:color="auto"/>
      </w:divBdr>
    </w:div>
    <w:div w:id="655836807">
      <w:bodyDiv w:val="1"/>
      <w:marLeft w:val="0"/>
      <w:marRight w:val="0"/>
      <w:marTop w:val="0"/>
      <w:marBottom w:val="0"/>
      <w:divBdr>
        <w:top w:val="none" w:sz="0" w:space="0" w:color="auto"/>
        <w:left w:val="none" w:sz="0" w:space="0" w:color="auto"/>
        <w:bottom w:val="none" w:sz="0" w:space="0" w:color="auto"/>
        <w:right w:val="none" w:sz="0" w:space="0" w:color="auto"/>
      </w:divBdr>
    </w:div>
    <w:div w:id="655915021">
      <w:bodyDiv w:val="1"/>
      <w:marLeft w:val="0"/>
      <w:marRight w:val="0"/>
      <w:marTop w:val="0"/>
      <w:marBottom w:val="0"/>
      <w:divBdr>
        <w:top w:val="none" w:sz="0" w:space="0" w:color="auto"/>
        <w:left w:val="none" w:sz="0" w:space="0" w:color="auto"/>
        <w:bottom w:val="none" w:sz="0" w:space="0" w:color="auto"/>
        <w:right w:val="none" w:sz="0" w:space="0" w:color="auto"/>
      </w:divBdr>
    </w:div>
    <w:div w:id="703871006">
      <w:bodyDiv w:val="1"/>
      <w:marLeft w:val="0"/>
      <w:marRight w:val="0"/>
      <w:marTop w:val="0"/>
      <w:marBottom w:val="0"/>
      <w:divBdr>
        <w:top w:val="none" w:sz="0" w:space="0" w:color="auto"/>
        <w:left w:val="none" w:sz="0" w:space="0" w:color="auto"/>
        <w:bottom w:val="none" w:sz="0" w:space="0" w:color="auto"/>
        <w:right w:val="none" w:sz="0" w:space="0" w:color="auto"/>
      </w:divBdr>
    </w:div>
    <w:div w:id="727415261">
      <w:bodyDiv w:val="1"/>
      <w:marLeft w:val="0"/>
      <w:marRight w:val="0"/>
      <w:marTop w:val="0"/>
      <w:marBottom w:val="0"/>
      <w:divBdr>
        <w:top w:val="none" w:sz="0" w:space="0" w:color="auto"/>
        <w:left w:val="none" w:sz="0" w:space="0" w:color="auto"/>
        <w:bottom w:val="none" w:sz="0" w:space="0" w:color="auto"/>
        <w:right w:val="none" w:sz="0" w:space="0" w:color="auto"/>
      </w:divBdr>
    </w:div>
    <w:div w:id="735279676">
      <w:bodyDiv w:val="1"/>
      <w:marLeft w:val="0"/>
      <w:marRight w:val="0"/>
      <w:marTop w:val="0"/>
      <w:marBottom w:val="0"/>
      <w:divBdr>
        <w:top w:val="none" w:sz="0" w:space="0" w:color="auto"/>
        <w:left w:val="none" w:sz="0" w:space="0" w:color="auto"/>
        <w:bottom w:val="none" w:sz="0" w:space="0" w:color="auto"/>
        <w:right w:val="none" w:sz="0" w:space="0" w:color="auto"/>
      </w:divBdr>
    </w:div>
    <w:div w:id="745348513">
      <w:bodyDiv w:val="1"/>
      <w:marLeft w:val="0"/>
      <w:marRight w:val="0"/>
      <w:marTop w:val="0"/>
      <w:marBottom w:val="0"/>
      <w:divBdr>
        <w:top w:val="none" w:sz="0" w:space="0" w:color="auto"/>
        <w:left w:val="none" w:sz="0" w:space="0" w:color="auto"/>
        <w:bottom w:val="none" w:sz="0" w:space="0" w:color="auto"/>
        <w:right w:val="none" w:sz="0" w:space="0" w:color="auto"/>
      </w:divBdr>
    </w:div>
    <w:div w:id="752747695">
      <w:bodyDiv w:val="1"/>
      <w:marLeft w:val="0"/>
      <w:marRight w:val="0"/>
      <w:marTop w:val="0"/>
      <w:marBottom w:val="0"/>
      <w:divBdr>
        <w:top w:val="none" w:sz="0" w:space="0" w:color="auto"/>
        <w:left w:val="none" w:sz="0" w:space="0" w:color="auto"/>
        <w:bottom w:val="none" w:sz="0" w:space="0" w:color="auto"/>
        <w:right w:val="none" w:sz="0" w:space="0" w:color="auto"/>
      </w:divBdr>
    </w:div>
    <w:div w:id="814446984">
      <w:bodyDiv w:val="1"/>
      <w:marLeft w:val="0"/>
      <w:marRight w:val="0"/>
      <w:marTop w:val="0"/>
      <w:marBottom w:val="0"/>
      <w:divBdr>
        <w:top w:val="none" w:sz="0" w:space="0" w:color="auto"/>
        <w:left w:val="none" w:sz="0" w:space="0" w:color="auto"/>
        <w:bottom w:val="none" w:sz="0" w:space="0" w:color="auto"/>
        <w:right w:val="none" w:sz="0" w:space="0" w:color="auto"/>
      </w:divBdr>
    </w:div>
    <w:div w:id="819270757">
      <w:bodyDiv w:val="1"/>
      <w:marLeft w:val="0"/>
      <w:marRight w:val="0"/>
      <w:marTop w:val="0"/>
      <w:marBottom w:val="0"/>
      <w:divBdr>
        <w:top w:val="none" w:sz="0" w:space="0" w:color="auto"/>
        <w:left w:val="none" w:sz="0" w:space="0" w:color="auto"/>
        <w:bottom w:val="none" w:sz="0" w:space="0" w:color="auto"/>
        <w:right w:val="none" w:sz="0" w:space="0" w:color="auto"/>
      </w:divBdr>
    </w:div>
    <w:div w:id="827285624">
      <w:bodyDiv w:val="1"/>
      <w:marLeft w:val="0"/>
      <w:marRight w:val="0"/>
      <w:marTop w:val="0"/>
      <w:marBottom w:val="0"/>
      <w:divBdr>
        <w:top w:val="none" w:sz="0" w:space="0" w:color="auto"/>
        <w:left w:val="none" w:sz="0" w:space="0" w:color="auto"/>
        <w:bottom w:val="none" w:sz="0" w:space="0" w:color="auto"/>
        <w:right w:val="none" w:sz="0" w:space="0" w:color="auto"/>
      </w:divBdr>
    </w:div>
    <w:div w:id="851407796">
      <w:bodyDiv w:val="1"/>
      <w:marLeft w:val="0"/>
      <w:marRight w:val="0"/>
      <w:marTop w:val="0"/>
      <w:marBottom w:val="0"/>
      <w:divBdr>
        <w:top w:val="none" w:sz="0" w:space="0" w:color="auto"/>
        <w:left w:val="none" w:sz="0" w:space="0" w:color="auto"/>
        <w:bottom w:val="none" w:sz="0" w:space="0" w:color="auto"/>
        <w:right w:val="none" w:sz="0" w:space="0" w:color="auto"/>
      </w:divBdr>
    </w:div>
    <w:div w:id="873730246">
      <w:bodyDiv w:val="1"/>
      <w:marLeft w:val="0"/>
      <w:marRight w:val="0"/>
      <w:marTop w:val="0"/>
      <w:marBottom w:val="0"/>
      <w:divBdr>
        <w:top w:val="none" w:sz="0" w:space="0" w:color="auto"/>
        <w:left w:val="none" w:sz="0" w:space="0" w:color="auto"/>
        <w:bottom w:val="none" w:sz="0" w:space="0" w:color="auto"/>
        <w:right w:val="none" w:sz="0" w:space="0" w:color="auto"/>
      </w:divBdr>
    </w:div>
    <w:div w:id="876965414">
      <w:bodyDiv w:val="1"/>
      <w:marLeft w:val="0"/>
      <w:marRight w:val="0"/>
      <w:marTop w:val="0"/>
      <w:marBottom w:val="0"/>
      <w:divBdr>
        <w:top w:val="none" w:sz="0" w:space="0" w:color="auto"/>
        <w:left w:val="none" w:sz="0" w:space="0" w:color="auto"/>
        <w:bottom w:val="none" w:sz="0" w:space="0" w:color="auto"/>
        <w:right w:val="none" w:sz="0" w:space="0" w:color="auto"/>
      </w:divBdr>
    </w:div>
    <w:div w:id="943802999">
      <w:bodyDiv w:val="1"/>
      <w:marLeft w:val="0"/>
      <w:marRight w:val="0"/>
      <w:marTop w:val="0"/>
      <w:marBottom w:val="0"/>
      <w:divBdr>
        <w:top w:val="none" w:sz="0" w:space="0" w:color="auto"/>
        <w:left w:val="none" w:sz="0" w:space="0" w:color="auto"/>
        <w:bottom w:val="none" w:sz="0" w:space="0" w:color="auto"/>
        <w:right w:val="none" w:sz="0" w:space="0" w:color="auto"/>
      </w:divBdr>
    </w:div>
    <w:div w:id="992686557">
      <w:bodyDiv w:val="1"/>
      <w:marLeft w:val="0"/>
      <w:marRight w:val="0"/>
      <w:marTop w:val="0"/>
      <w:marBottom w:val="0"/>
      <w:divBdr>
        <w:top w:val="none" w:sz="0" w:space="0" w:color="auto"/>
        <w:left w:val="none" w:sz="0" w:space="0" w:color="auto"/>
        <w:bottom w:val="none" w:sz="0" w:space="0" w:color="auto"/>
        <w:right w:val="none" w:sz="0" w:space="0" w:color="auto"/>
      </w:divBdr>
    </w:div>
    <w:div w:id="1007560195">
      <w:bodyDiv w:val="1"/>
      <w:marLeft w:val="0"/>
      <w:marRight w:val="0"/>
      <w:marTop w:val="0"/>
      <w:marBottom w:val="0"/>
      <w:divBdr>
        <w:top w:val="none" w:sz="0" w:space="0" w:color="auto"/>
        <w:left w:val="none" w:sz="0" w:space="0" w:color="auto"/>
        <w:bottom w:val="none" w:sz="0" w:space="0" w:color="auto"/>
        <w:right w:val="none" w:sz="0" w:space="0" w:color="auto"/>
      </w:divBdr>
    </w:div>
    <w:div w:id="1109550141">
      <w:bodyDiv w:val="1"/>
      <w:marLeft w:val="0"/>
      <w:marRight w:val="0"/>
      <w:marTop w:val="0"/>
      <w:marBottom w:val="0"/>
      <w:divBdr>
        <w:top w:val="none" w:sz="0" w:space="0" w:color="auto"/>
        <w:left w:val="none" w:sz="0" w:space="0" w:color="auto"/>
        <w:bottom w:val="none" w:sz="0" w:space="0" w:color="auto"/>
        <w:right w:val="none" w:sz="0" w:space="0" w:color="auto"/>
      </w:divBdr>
    </w:div>
    <w:div w:id="1203128136">
      <w:bodyDiv w:val="1"/>
      <w:marLeft w:val="0"/>
      <w:marRight w:val="0"/>
      <w:marTop w:val="0"/>
      <w:marBottom w:val="0"/>
      <w:divBdr>
        <w:top w:val="none" w:sz="0" w:space="0" w:color="auto"/>
        <w:left w:val="none" w:sz="0" w:space="0" w:color="auto"/>
        <w:bottom w:val="none" w:sz="0" w:space="0" w:color="auto"/>
        <w:right w:val="none" w:sz="0" w:space="0" w:color="auto"/>
      </w:divBdr>
    </w:div>
    <w:div w:id="1247761518">
      <w:bodyDiv w:val="1"/>
      <w:marLeft w:val="0"/>
      <w:marRight w:val="0"/>
      <w:marTop w:val="0"/>
      <w:marBottom w:val="0"/>
      <w:divBdr>
        <w:top w:val="none" w:sz="0" w:space="0" w:color="auto"/>
        <w:left w:val="none" w:sz="0" w:space="0" w:color="auto"/>
        <w:bottom w:val="none" w:sz="0" w:space="0" w:color="auto"/>
        <w:right w:val="none" w:sz="0" w:space="0" w:color="auto"/>
      </w:divBdr>
    </w:div>
    <w:div w:id="1312560204">
      <w:bodyDiv w:val="1"/>
      <w:marLeft w:val="0"/>
      <w:marRight w:val="0"/>
      <w:marTop w:val="0"/>
      <w:marBottom w:val="0"/>
      <w:divBdr>
        <w:top w:val="none" w:sz="0" w:space="0" w:color="auto"/>
        <w:left w:val="none" w:sz="0" w:space="0" w:color="auto"/>
        <w:bottom w:val="none" w:sz="0" w:space="0" w:color="auto"/>
        <w:right w:val="none" w:sz="0" w:space="0" w:color="auto"/>
      </w:divBdr>
    </w:div>
    <w:div w:id="1366491559">
      <w:bodyDiv w:val="1"/>
      <w:marLeft w:val="0"/>
      <w:marRight w:val="0"/>
      <w:marTop w:val="0"/>
      <w:marBottom w:val="0"/>
      <w:divBdr>
        <w:top w:val="none" w:sz="0" w:space="0" w:color="auto"/>
        <w:left w:val="none" w:sz="0" w:space="0" w:color="auto"/>
        <w:bottom w:val="none" w:sz="0" w:space="0" w:color="auto"/>
        <w:right w:val="none" w:sz="0" w:space="0" w:color="auto"/>
      </w:divBdr>
    </w:div>
    <w:div w:id="1367220514">
      <w:bodyDiv w:val="1"/>
      <w:marLeft w:val="0"/>
      <w:marRight w:val="0"/>
      <w:marTop w:val="0"/>
      <w:marBottom w:val="0"/>
      <w:divBdr>
        <w:top w:val="none" w:sz="0" w:space="0" w:color="auto"/>
        <w:left w:val="none" w:sz="0" w:space="0" w:color="auto"/>
        <w:bottom w:val="none" w:sz="0" w:space="0" w:color="auto"/>
        <w:right w:val="none" w:sz="0" w:space="0" w:color="auto"/>
      </w:divBdr>
    </w:div>
    <w:div w:id="1425305029">
      <w:bodyDiv w:val="1"/>
      <w:marLeft w:val="0"/>
      <w:marRight w:val="0"/>
      <w:marTop w:val="0"/>
      <w:marBottom w:val="0"/>
      <w:divBdr>
        <w:top w:val="none" w:sz="0" w:space="0" w:color="auto"/>
        <w:left w:val="none" w:sz="0" w:space="0" w:color="auto"/>
        <w:bottom w:val="none" w:sz="0" w:space="0" w:color="auto"/>
        <w:right w:val="none" w:sz="0" w:space="0" w:color="auto"/>
      </w:divBdr>
    </w:div>
    <w:div w:id="1506170152">
      <w:bodyDiv w:val="1"/>
      <w:marLeft w:val="0"/>
      <w:marRight w:val="0"/>
      <w:marTop w:val="0"/>
      <w:marBottom w:val="0"/>
      <w:divBdr>
        <w:top w:val="none" w:sz="0" w:space="0" w:color="auto"/>
        <w:left w:val="none" w:sz="0" w:space="0" w:color="auto"/>
        <w:bottom w:val="none" w:sz="0" w:space="0" w:color="auto"/>
        <w:right w:val="none" w:sz="0" w:space="0" w:color="auto"/>
      </w:divBdr>
    </w:div>
    <w:div w:id="1510483907">
      <w:bodyDiv w:val="1"/>
      <w:marLeft w:val="0"/>
      <w:marRight w:val="0"/>
      <w:marTop w:val="0"/>
      <w:marBottom w:val="0"/>
      <w:divBdr>
        <w:top w:val="none" w:sz="0" w:space="0" w:color="auto"/>
        <w:left w:val="none" w:sz="0" w:space="0" w:color="auto"/>
        <w:bottom w:val="none" w:sz="0" w:space="0" w:color="auto"/>
        <w:right w:val="none" w:sz="0" w:space="0" w:color="auto"/>
      </w:divBdr>
    </w:div>
    <w:div w:id="1523012252">
      <w:bodyDiv w:val="1"/>
      <w:marLeft w:val="0"/>
      <w:marRight w:val="0"/>
      <w:marTop w:val="0"/>
      <w:marBottom w:val="0"/>
      <w:divBdr>
        <w:top w:val="none" w:sz="0" w:space="0" w:color="auto"/>
        <w:left w:val="none" w:sz="0" w:space="0" w:color="auto"/>
        <w:bottom w:val="none" w:sz="0" w:space="0" w:color="auto"/>
        <w:right w:val="none" w:sz="0" w:space="0" w:color="auto"/>
      </w:divBdr>
    </w:div>
    <w:div w:id="1548880523">
      <w:bodyDiv w:val="1"/>
      <w:marLeft w:val="0"/>
      <w:marRight w:val="0"/>
      <w:marTop w:val="0"/>
      <w:marBottom w:val="0"/>
      <w:divBdr>
        <w:top w:val="none" w:sz="0" w:space="0" w:color="auto"/>
        <w:left w:val="none" w:sz="0" w:space="0" w:color="auto"/>
        <w:bottom w:val="none" w:sz="0" w:space="0" w:color="auto"/>
        <w:right w:val="none" w:sz="0" w:space="0" w:color="auto"/>
      </w:divBdr>
    </w:div>
    <w:div w:id="1573540102">
      <w:bodyDiv w:val="1"/>
      <w:marLeft w:val="0"/>
      <w:marRight w:val="0"/>
      <w:marTop w:val="0"/>
      <w:marBottom w:val="0"/>
      <w:divBdr>
        <w:top w:val="none" w:sz="0" w:space="0" w:color="auto"/>
        <w:left w:val="none" w:sz="0" w:space="0" w:color="auto"/>
        <w:bottom w:val="none" w:sz="0" w:space="0" w:color="auto"/>
        <w:right w:val="none" w:sz="0" w:space="0" w:color="auto"/>
      </w:divBdr>
    </w:div>
    <w:div w:id="1591354085">
      <w:bodyDiv w:val="1"/>
      <w:marLeft w:val="0"/>
      <w:marRight w:val="0"/>
      <w:marTop w:val="0"/>
      <w:marBottom w:val="0"/>
      <w:divBdr>
        <w:top w:val="none" w:sz="0" w:space="0" w:color="auto"/>
        <w:left w:val="none" w:sz="0" w:space="0" w:color="auto"/>
        <w:bottom w:val="none" w:sz="0" w:space="0" w:color="auto"/>
        <w:right w:val="none" w:sz="0" w:space="0" w:color="auto"/>
      </w:divBdr>
    </w:div>
    <w:div w:id="1595168086">
      <w:bodyDiv w:val="1"/>
      <w:marLeft w:val="0"/>
      <w:marRight w:val="0"/>
      <w:marTop w:val="0"/>
      <w:marBottom w:val="0"/>
      <w:divBdr>
        <w:top w:val="none" w:sz="0" w:space="0" w:color="auto"/>
        <w:left w:val="none" w:sz="0" w:space="0" w:color="auto"/>
        <w:bottom w:val="none" w:sz="0" w:space="0" w:color="auto"/>
        <w:right w:val="none" w:sz="0" w:space="0" w:color="auto"/>
      </w:divBdr>
    </w:div>
    <w:div w:id="1639989567">
      <w:bodyDiv w:val="1"/>
      <w:marLeft w:val="0"/>
      <w:marRight w:val="0"/>
      <w:marTop w:val="0"/>
      <w:marBottom w:val="0"/>
      <w:divBdr>
        <w:top w:val="none" w:sz="0" w:space="0" w:color="auto"/>
        <w:left w:val="none" w:sz="0" w:space="0" w:color="auto"/>
        <w:bottom w:val="none" w:sz="0" w:space="0" w:color="auto"/>
        <w:right w:val="none" w:sz="0" w:space="0" w:color="auto"/>
      </w:divBdr>
    </w:div>
    <w:div w:id="1692802588">
      <w:bodyDiv w:val="1"/>
      <w:marLeft w:val="0"/>
      <w:marRight w:val="0"/>
      <w:marTop w:val="0"/>
      <w:marBottom w:val="0"/>
      <w:divBdr>
        <w:top w:val="none" w:sz="0" w:space="0" w:color="auto"/>
        <w:left w:val="none" w:sz="0" w:space="0" w:color="auto"/>
        <w:bottom w:val="none" w:sz="0" w:space="0" w:color="auto"/>
        <w:right w:val="none" w:sz="0" w:space="0" w:color="auto"/>
      </w:divBdr>
    </w:div>
    <w:div w:id="1698504869">
      <w:bodyDiv w:val="1"/>
      <w:marLeft w:val="0"/>
      <w:marRight w:val="0"/>
      <w:marTop w:val="0"/>
      <w:marBottom w:val="0"/>
      <w:divBdr>
        <w:top w:val="none" w:sz="0" w:space="0" w:color="auto"/>
        <w:left w:val="none" w:sz="0" w:space="0" w:color="auto"/>
        <w:bottom w:val="none" w:sz="0" w:space="0" w:color="auto"/>
        <w:right w:val="none" w:sz="0" w:space="0" w:color="auto"/>
      </w:divBdr>
    </w:div>
    <w:div w:id="1705524063">
      <w:bodyDiv w:val="1"/>
      <w:marLeft w:val="0"/>
      <w:marRight w:val="0"/>
      <w:marTop w:val="0"/>
      <w:marBottom w:val="0"/>
      <w:divBdr>
        <w:top w:val="none" w:sz="0" w:space="0" w:color="auto"/>
        <w:left w:val="none" w:sz="0" w:space="0" w:color="auto"/>
        <w:bottom w:val="none" w:sz="0" w:space="0" w:color="auto"/>
        <w:right w:val="none" w:sz="0" w:space="0" w:color="auto"/>
      </w:divBdr>
    </w:div>
    <w:div w:id="1713263607">
      <w:bodyDiv w:val="1"/>
      <w:marLeft w:val="0"/>
      <w:marRight w:val="0"/>
      <w:marTop w:val="0"/>
      <w:marBottom w:val="0"/>
      <w:divBdr>
        <w:top w:val="none" w:sz="0" w:space="0" w:color="auto"/>
        <w:left w:val="none" w:sz="0" w:space="0" w:color="auto"/>
        <w:bottom w:val="none" w:sz="0" w:space="0" w:color="auto"/>
        <w:right w:val="none" w:sz="0" w:space="0" w:color="auto"/>
      </w:divBdr>
    </w:div>
    <w:div w:id="1729264065">
      <w:bodyDiv w:val="1"/>
      <w:marLeft w:val="0"/>
      <w:marRight w:val="0"/>
      <w:marTop w:val="0"/>
      <w:marBottom w:val="0"/>
      <w:divBdr>
        <w:top w:val="none" w:sz="0" w:space="0" w:color="auto"/>
        <w:left w:val="none" w:sz="0" w:space="0" w:color="auto"/>
        <w:bottom w:val="none" w:sz="0" w:space="0" w:color="auto"/>
        <w:right w:val="none" w:sz="0" w:space="0" w:color="auto"/>
      </w:divBdr>
    </w:div>
    <w:div w:id="1751542165">
      <w:bodyDiv w:val="1"/>
      <w:marLeft w:val="0"/>
      <w:marRight w:val="0"/>
      <w:marTop w:val="0"/>
      <w:marBottom w:val="0"/>
      <w:divBdr>
        <w:top w:val="none" w:sz="0" w:space="0" w:color="auto"/>
        <w:left w:val="none" w:sz="0" w:space="0" w:color="auto"/>
        <w:bottom w:val="none" w:sz="0" w:space="0" w:color="auto"/>
        <w:right w:val="none" w:sz="0" w:space="0" w:color="auto"/>
      </w:divBdr>
    </w:div>
    <w:div w:id="1773016108">
      <w:bodyDiv w:val="1"/>
      <w:marLeft w:val="0"/>
      <w:marRight w:val="0"/>
      <w:marTop w:val="0"/>
      <w:marBottom w:val="0"/>
      <w:divBdr>
        <w:top w:val="none" w:sz="0" w:space="0" w:color="auto"/>
        <w:left w:val="none" w:sz="0" w:space="0" w:color="auto"/>
        <w:bottom w:val="none" w:sz="0" w:space="0" w:color="auto"/>
        <w:right w:val="none" w:sz="0" w:space="0" w:color="auto"/>
      </w:divBdr>
    </w:div>
    <w:div w:id="1857886519">
      <w:bodyDiv w:val="1"/>
      <w:marLeft w:val="0"/>
      <w:marRight w:val="0"/>
      <w:marTop w:val="0"/>
      <w:marBottom w:val="0"/>
      <w:divBdr>
        <w:top w:val="none" w:sz="0" w:space="0" w:color="auto"/>
        <w:left w:val="none" w:sz="0" w:space="0" w:color="auto"/>
        <w:bottom w:val="none" w:sz="0" w:space="0" w:color="auto"/>
        <w:right w:val="none" w:sz="0" w:space="0" w:color="auto"/>
      </w:divBdr>
    </w:div>
    <w:div w:id="1867013756">
      <w:bodyDiv w:val="1"/>
      <w:marLeft w:val="0"/>
      <w:marRight w:val="0"/>
      <w:marTop w:val="0"/>
      <w:marBottom w:val="0"/>
      <w:divBdr>
        <w:top w:val="none" w:sz="0" w:space="0" w:color="auto"/>
        <w:left w:val="none" w:sz="0" w:space="0" w:color="auto"/>
        <w:bottom w:val="none" w:sz="0" w:space="0" w:color="auto"/>
        <w:right w:val="none" w:sz="0" w:space="0" w:color="auto"/>
      </w:divBdr>
    </w:div>
    <w:div w:id="1870993468">
      <w:bodyDiv w:val="1"/>
      <w:marLeft w:val="0"/>
      <w:marRight w:val="0"/>
      <w:marTop w:val="0"/>
      <w:marBottom w:val="0"/>
      <w:divBdr>
        <w:top w:val="none" w:sz="0" w:space="0" w:color="auto"/>
        <w:left w:val="none" w:sz="0" w:space="0" w:color="auto"/>
        <w:bottom w:val="none" w:sz="0" w:space="0" w:color="auto"/>
        <w:right w:val="none" w:sz="0" w:space="0" w:color="auto"/>
      </w:divBdr>
    </w:div>
    <w:div w:id="1887326017">
      <w:bodyDiv w:val="1"/>
      <w:marLeft w:val="0"/>
      <w:marRight w:val="0"/>
      <w:marTop w:val="0"/>
      <w:marBottom w:val="0"/>
      <w:divBdr>
        <w:top w:val="none" w:sz="0" w:space="0" w:color="auto"/>
        <w:left w:val="none" w:sz="0" w:space="0" w:color="auto"/>
        <w:bottom w:val="none" w:sz="0" w:space="0" w:color="auto"/>
        <w:right w:val="none" w:sz="0" w:space="0" w:color="auto"/>
      </w:divBdr>
    </w:div>
    <w:div w:id="1910380277">
      <w:bodyDiv w:val="1"/>
      <w:marLeft w:val="0"/>
      <w:marRight w:val="0"/>
      <w:marTop w:val="0"/>
      <w:marBottom w:val="0"/>
      <w:divBdr>
        <w:top w:val="none" w:sz="0" w:space="0" w:color="auto"/>
        <w:left w:val="none" w:sz="0" w:space="0" w:color="auto"/>
        <w:bottom w:val="none" w:sz="0" w:space="0" w:color="auto"/>
        <w:right w:val="none" w:sz="0" w:space="0" w:color="auto"/>
      </w:divBdr>
    </w:div>
    <w:div w:id="1984311759">
      <w:bodyDiv w:val="1"/>
      <w:marLeft w:val="0"/>
      <w:marRight w:val="0"/>
      <w:marTop w:val="0"/>
      <w:marBottom w:val="0"/>
      <w:divBdr>
        <w:top w:val="none" w:sz="0" w:space="0" w:color="auto"/>
        <w:left w:val="none" w:sz="0" w:space="0" w:color="auto"/>
        <w:bottom w:val="none" w:sz="0" w:space="0" w:color="auto"/>
        <w:right w:val="none" w:sz="0" w:space="0" w:color="auto"/>
      </w:divBdr>
    </w:div>
    <w:div w:id="2008748525">
      <w:bodyDiv w:val="1"/>
      <w:marLeft w:val="0"/>
      <w:marRight w:val="0"/>
      <w:marTop w:val="0"/>
      <w:marBottom w:val="0"/>
      <w:divBdr>
        <w:top w:val="none" w:sz="0" w:space="0" w:color="auto"/>
        <w:left w:val="none" w:sz="0" w:space="0" w:color="auto"/>
        <w:bottom w:val="none" w:sz="0" w:space="0" w:color="auto"/>
        <w:right w:val="none" w:sz="0" w:space="0" w:color="auto"/>
      </w:divBdr>
    </w:div>
    <w:div w:id="2038115211">
      <w:bodyDiv w:val="1"/>
      <w:marLeft w:val="0"/>
      <w:marRight w:val="0"/>
      <w:marTop w:val="0"/>
      <w:marBottom w:val="0"/>
      <w:divBdr>
        <w:top w:val="none" w:sz="0" w:space="0" w:color="auto"/>
        <w:left w:val="none" w:sz="0" w:space="0" w:color="auto"/>
        <w:bottom w:val="none" w:sz="0" w:space="0" w:color="auto"/>
        <w:right w:val="none" w:sz="0" w:space="0" w:color="auto"/>
      </w:divBdr>
    </w:div>
    <w:div w:id="2090274132">
      <w:bodyDiv w:val="1"/>
      <w:marLeft w:val="0"/>
      <w:marRight w:val="0"/>
      <w:marTop w:val="0"/>
      <w:marBottom w:val="0"/>
      <w:divBdr>
        <w:top w:val="none" w:sz="0" w:space="0" w:color="auto"/>
        <w:left w:val="none" w:sz="0" w:space="0" w:color="auto"/>
        <w:bottom w:val="none" w:sz="0" w:space="0" w:color="auto"/>
        <w:right w:val="none" w:sz="0" w:space="0" w:color="auto"/>
      </w:divBdr>
    </w:div>
    <w:div w:id="2098551292">
      <w:bodyDiv w:val="1"/>
      <w:marLeft w:val="0"/>
      <w:marRight w:val="0"/>
      <w:marTop w:val="0"/>
      <w:marBottom w:val="0"/>
      <w:divBdr>
        <w:top w:val="none" w:sz="0" w:space="0" w:color="auto"/>
        <w:left w:val="none" w:sz="0" w:space="0" w:color="auto"/>
        <w:bottom w:val="none" w:sz="0" w:space="0" w:color="auto"/>
        <w:right w:val="none" w:sz="0" w:space="0" w:color="auto"/>
      </w:divBdr>
    </w:div>
    <w:div w:id="2125340125">
      <w:bodyDiv w:val="1"/>
      <w:marLeft w:val="0"/>
      <w:marRight w:val="0"/>
      <w:marTop w:val="0"/>
      <w:marBottom w:val="0"/>
      <w:divBdr>
        <w:top w:val="none" w:sz="0" w:space="0" w:color="auto"/>
        <w:left w:val="none" w:sz="0" w:space="0" w:color="auto"/>
        <w:bottom w:val="none" w:sz="0" w:space="0" w:color="auto"/>
        <w:right w:val="none" w:sz="0" w:space="0" w:color="auto"/>
      </w:divBdr>
    </w:div>
    <w:div w:id="21332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eader" Target="header6.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ONTERO\Desktop\Cambio%20de%20imagen\NUEVO\Templates\Propuestas\Proposals_US_LTR_Word\Del_Proposal%20template%20US.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AF6DB-514F-41FE-AD3A-B0DC17755731}" type="doc">
      <dgm:prSet loTypeId="urn:microsoft.com/office/officeart/2005/8/layout/hierarchy3" loCatId="hierarchy" qsTypeId="urn:microsoft.com/office/officeart/2005/8/quickstyle/simple1" qsCatId="simple" csTypeId="urn:microsoft.com/office/officeart/2005/8/colors/accent2_2" csCatId="accent2" phldr="1"/>
      <dgm:spPr/>
      <dgm:t>
        <a:bodyPr/>
        <a:lstStyle/>
        <a:p>
          <a:endParaRPr lang="en-US"/>
        </a:p>
      </dgm:t>
    </dgm:pt>
    <dgm:pt modelId="{49F9D11E-A8FA-4303-B2FF-7C09D89AB105}">
      <dgm:prSet phldrT="[Text]" custT="1"/>
      <dgm:spPr>
        <a:solidFill>
          <a:srgbClr val="2C5234"/>
        </a:solidFill>
      </dgm:spPr>
      <dgm:t>
        <a:bodyPr/>
        <a:lstStyle/>
        <a:p>
          <a:r>
            <a:rPr lang="es-419" sz="900" b="1"/>
            <a:t>Ingresos de la Industria Extractiva en República Dominicana</a:t>
          </a:r>
          <a:endParaRPr lang="en-US" sz="900" b="1"/>
        </a:p>
      </dgm:t>
    </dgm:pt>
    <dgm:pt modelId="{A082A545-786E-46C8-B42C-F82EEAC61EF6}" type="parTrans" cxnId="{9FC786E6-7DBA-4BAB-BC23-74C7FD983128}">
      <dgm:prSet/>
      <dgm:spPr/>
      <dgm:t>
        <a:bodyPr/>
        <a:lstStyle/>
        <a:p>
          <a:endParaRPr lang="en-US" sz="900"/>
        </a:p>
      </dgm:t>
    </dgm:pt>
    <dgm:pt modelId="{F8AE4071-0CAC-4356-9809-A3A7D6CE564C}" type="sibTrans" cxnId="{9FC786E6-7DBA-4BAB-BC23-74C7FD983128}">
      <dgm:prSet/>
      <dgm:spPr/>
      <dgm:t>
        <a:bodyPr/>
        <a:lstStyle/>
        <a:p>
          <a:endParaRPr lang="en-US" sz="900"/>
        </a:p>
      </dgm:t>
    </dgm:pt>
    <dgm:pt modelId="{FF389A40-A84F-460B-9BFF-90AF64DDC621}">
      <dgm:prSet custT="1"/>
      <dgm:spPr/>
      <dgm:t>
        <a:bodyPr/>
        <a:lstStyle/>
        <a:p>
          <a:pPr algn="l">
            <a:buFont typeface="Symbol" panose="05050102010706020507" pitchFamily="18" charset="2"/>
            <a:buChar char=""/>
          </a:pPr>
          <a:r>
            <a:rPr lang="es-419" sz="900"/>
            <a:t>Cuarto Informe EITI de República Dominicana e incluye 2 años cotejados, 2019 y 2020.</a:t>
          </a:r>
          <a:endParaRPr lang="en-US" sz="900"/>
        </a:p>
      </dgm:t>
    </dgm:pt>
    <dgm:pt modelId="{AA2FCF3E-6F50-46B7-8031-7710DD3AE9C8}" type="parTrans" cxnId="{489B2B72-5AB0-473B-8095-91268BAE37C2}">
      <dgm:prSet/>
      <dgm:spPr/>
      <dgm:t>
        <a:bodyPr/>
        <a:lstStyle/>
        <a:p>
          <a:endParaRPr lang="en-US" sz="900"/>
        </a:p>
      </dgm:t>
    </dgm:pt>
    <dgm:pt modelId="{B98BA85B-5C37-455B-9F3C-42C9EB6706DF}" type="sibTrans" cxnId="{489B2B72-5AB0-473B-8095-91268BAE37C2}">
      <dgm:prSet/>
      <dgm:spPr/>
      <dgm:t>
        <a:bodyPr/>
        <a:lstStyle/>
        <a:p>
          <a:endParaRPr lang="en-US" sz="900"/>
        </a:p>
      </dgm:t>
    </dgm:pt>
    <dgm:pt modelId="{3C7DFDF5-3FD2-40FF-B63F-65692A49192C}">
      <dgm:prSet custT="1"/>
      <dgm:spPr/>
      <dgm:t>
        <a:bodyPr/>
        <a:lstStyle/>
        <a:p>
          <a:pPr algn="l">
            <a:buFont typeface="Symbol" panose="05050102010706020507" pitchFamily="18" charset="2"/>
            <a:buChar char=""/>
          </a:pPr>
          <a:r>
            <a:rPr lang="es-419" sz="900"/>
            <a:t>De las 5 empresas que componen la industria extractiva pertenecientes al sector de la minería metálica, que fueron identificadas por la CNEITI-RD, fueron invitadas 4 empresas a participar en el cotejo de datos del 4to. Informe EITI.</a:t>
          </a:r>
          <a:endParaRPr lang="en-US" sz="900"/>
        </a:p>
      </dgm:t>
    </dgm:pt>
    <dgm:pt modelId="{CA10DCD3-DD3B-415C-8D2C-2797F7CCDA69}" type="parTrans" cxnId="{C30BE677-C4DB-44B6-96A8-162C0D28BE4D}">
      <dgm:prSet/>
      <dgm:spPr/>
      <dgm:t>
        <a:bodyPr/>
        <a:lstStyle/>
        <a:p>
          <a:endParaRPr lang="en-US" sz="900"/>
        </a:p>
      </dgm:t>
    </dgm:pt>
    <dgm:pt modelId="{796102ED-BCE4-4934-9902-A8B0A96002D5}" type="sibTrans" cxnId="{C30BE677-C4DB-44B6-96A8-162C0D28BE4D}">
      <dgm:prSet/>
      <dgm:spPr/>
      <dgm:t>
        <a:bodyPr/>
        <a:lstStyle/>
        <a:p>
          <a:endParaRPr lang="en-US" sz="900"/>
        </a:p>
      </dgm:t>
    </dgm:pt>
    <dgm:pt modelId="{B6D47D8A-F9F6-4037-876B-E9351993953C}">
      <dgm:prSet custT="1"/>
      <dgm:spPr/>
      <dgm:t>
        <a:bodyPr/>
        <a:lstStyle/>
        <a:p>
          <a:pPr algn="l">
            <a:buFont typeface="Symbol" panose="05050102010706020507" pitchFamily="18" charset="2"/>
            <a:buChar char=""/>
          </a:pPr>
          <a:r>
            <a:rPr lang="es-419" sz="900"/>
            <a:t>7 entidades gubernamentales son los responsables de las recaudaciones de los flujos de ingresos generados por la industria extractiva en los años 2019 y 2020, conforme a lo identificado por la CNEITI-RD.</a:t>
          </a:r>
          <a:endParaRPr lang="en-US" sz="900"/>
        </a:p>
      </dgm:t>
    </dgm:pt>
    <dgm:pt modelId="{B079CCB4-3C81-4DDA-9FEA-2191342F03E1}" type="parTrans" cxnId="{FC9A7116-CD17-4A83-96B4-155C13D2D90E}">
      <dgm:prSet/>
      <dgm:spPr/>
      <dgm:t>
        <a:bodyPr/>
        <a:lstStyle/>
        <a:p>
          <a:endParaRPr lang="en-US" sz="900"/>
        </a:p>
      </dgm:t>
    </dgm:pt>
    <dgm:pt modelId="{BA1C3913-5C8C-41B5-B541-AAB1A2BFA68E}" type="sibTrans" cxnId="{FC9A7116-CD17-4A83-96B4-155C13D2D90E}">
      <dgm:prSet/>
      <dgm:spPr/>
      <dgm:t>
        <a:bodyPr/>
        <a:lstStyle/>
        <a:p>
          <a:endParaRPr lang="en-US" sz="900"/>
        </a:p>
      </dgm:t>
    </dgm:pt>
    <dgm:pt modelId="{C0576B75-6EF6-4BC9-A6E1-9DE92522CCC2}">
      <dgm:prSet custT="1"/>
      <dgm:spPr/>
      <dgm:t>
        <a:bodyPr/>
        <a:lstStyle/>
        <a:p>
          <a:pPr algn="l">
            <a:buFont typeface="Symbol" panose="05050102010706020507" pitchFamily="18" charset="2"/>
            <a:buChar char=""/>
          </a:pPr>
          <a:r>
            <a:rPr lang="es-419" sz="900"/>
            <a:t>Se incluyeron en el cotejo de datos 4 de las 7 entidades gubernamentales identificadas por la CNEITI-RD.</a:t>
          </a:r>
          <a:endParaRPr lang="en-US" sz="900"/>
        </a:p>
      </dgm:t>
    </dgm:pt>
    <dgm:pt modelId="{0B18BD46-16CB-439A-AB26-705C8E02DB1E}" type="parTrans" cxnId="{D7E7473B-B80B-4B50-B434-FA243E71642F}">
      <dgm:prSet/>
      <dgm:spPr/>
      <dgm:t>
        <a:bodyPr/>
        <a:lstStyle/>
        <a:p>
          <a:endParaRPr lang="en-US" sz="900"/>
        </a:p>
      </dgm:t>
    </dgm:pt>
    <dgm:pt modelId="{81233A39-F364-412D-A397-B57E9535D75F}" type="sibTrans" cxnId="{D7E7473B-B80B-4B50-B434-FA243E71642F}">
      <dgm:prSet/>
      <dgm:spPr/>
      <dgm:t>
        <a:bodyPr/>
        <a:lstStyle/>
        <a:p>
          <a:endParaRPr lang="en-US" sz="900"/>
        </a:p>
      </dgm:t>
    </dgm:pt>
    <dgm:pt modelId="{0B139606-0047-40A5-8354-BD65D9D94995}">
      <dgm:prSet custT="1"/>
      <dgm:spPr/>
      <dgm:t>
        <a:bodyPr/>
        <a:lstStyle/>
        <a:p>
          <a:pPr algn="l">
            <a:buFont typeface="Symbol" panose="05050102010706020507" pitchFamily="18" charset="2"/>
            <a:buChar char=""/>
          </a:pPr>
          <a:r>
            <a:rPr lang="es-419" sz="900"/>
            <a:t>La CNEITI-RD identificó y cuantificó RD$12,021 millones y RD$24,169 millones, respectivamente, correspondientes a los flujos de ingresos recaudados (sin ITBIS) del sector minero en República Dominicana en los años 2019 y 2020.</a:t>
          </a:r>
          <a:endParaRPr lang="en-US" sz="900"/>
        </a:p>
      </dgm:t>
    </dgm:pt>
    <dgm:pt modelId="{BC94EC11-5A9F-469D-B20C-3A8EDC6758F9}" type="parTrans" cxnId="{77DFAD36-2A23-43A5-B99F-0711EB7D690D}">
      <dgm:prSet/>
      <dgm:spPr/>
      <dgm:t>
        <a:bodyPr/>
        <a:lstStyle/>
        <a:p>
          <a:endParaRPr lang="en-US" sz="900"/>
        </a:p>
      </dgm:t>
    </dgm:pt>
    <dgm:pt modelId="{CDEC9050-1E75-4F38-A58C-962CAE6C3E20}" type="sibTrans" cxnId="{77DFAD36-2A23-43A5-B99F-0711EB7D690D}">
      <dgm:prSet/>
      <dgm:spPr/>
      <dgm:t>
        <a:bodyPr/>
        <a:lstStyle/>
        <a:p>
          <a:endParaRPr lang="en-US" sz="900"/>
        </a:p>
      </dgm:t>
    </dgm:pt>
    <dgm:pt modelId="{ABD028C8-941D-46B6-BFBF-D44B76F76899}">
      <dgm:prSet custT="1"/>
      <dgm:spPr/>
      <dgm:t>
        <a:bodyPr/>
        <a:lstStyle/>
        <a:p>
          <a:pPr algn="l">
            <a:buFont typeface="Symbol" panose="05050102010706020507" pitchFamily="18" charset="2"/>
            <a:buChar char=""/>
          </a:pPr>
          <a:r>
            <a:rPr lang="es-419" sz="900"/>
            <a:t>La CNEITI-RD decidió establecer una materialidad de, por lo menos, un 92% del total de los flujos recaudados por las entidades gubernamentales para el Cuarto Informe EITI-RD.</a:t>
          </a:r>
          <a:endParaRPr lang="en-US" sz="900"/>
        </a:p>
      </dgm:t>
    </dgm:pt>
    <dgm:pt modelId="{25ECBE6C-00C7-4EA3-A09C-273E3E4C5BBE}" type="parTrans" cxnId="{E884536B-5EE3-4207-BE8B-47EBBC99D5AB}">
      <dgm:prSet/>
      <dgm:spPr/>
      <dgm:t>
        <a:bodyPr/>
        <a:lstStyle/>
        <a:p>
          <a:endParaRPr lang="en-US" sz="900"/>
        </a:p>
      </dgm:t>
    </dgm:pt>
    <dgm:pt modelId="{EE4DDD19-FBE5-4451-B5B2-B65707B18E95}" type="sibTrans" cxnId="{E884536B-5EE3-4207-BE8B-47EBBC99D5AB}">
      <dgm:prSet/>
      <dgm:spPr/>
      <dgm:t>
        <a:bodyPr/>
        <a:lstStyle/>
        <a:p>
          <a:endParaRPr lang="en-US" sz="900"/>
        </a:p>
      </dgm:t>
    </dgm:pt>
    <dgm:pt modelId="{3E92963F-70B3-4788-9F69-D0F340D8641C}">
      <dgm:prSet custT="1"/>
      <dgm:spPr/>
      <dgm:t>
        <a:bodyPr/>
        <a:lstStyle/>
        <a:p>
          <a:pPr algn="l">
            <a:buFont typeface="Symbol" panose="05050102010706020507" pitchFamily="18" charset="2"/>
            <a:buChar char=""/>
          </a:pPr>
          <a:r>
            <a:rPr lang="es-419" sz="900"/>
            <a:t>La CNEITI-RD estableció como inmateriales para el año 2019 y 2020, los flujos de ingresos que sean iguales o menores al 1% de los ingresos totales recaudados por el Gobierno Dominicano, aplicables a la iniciativa, lo que equivale a RD$120.2 millones y RD$241.6 millones, respectivamente (Actas de la CNEITI-RD No. 08-2021).</a:t>
          </a:r>
          <a:endParaRPr lang="en-US" sz="900"/>
        </a:p>
      </dgm:t>
    </dgm:pt>
    <dgm:pt modelId="{11D936A7-D135-46F6-BBAD-4CF9C7A0C933}" type="parTrans" cxnId="{9A902325-D790-41CF-B9F1-9E0A17156CC4}">
      <dgm:prSet/>
      <dgm:spPr/>
      <dgm:t>
        <a:bodyPr/>
        <a:lstStyle/>
        <a:p>
          <a:endParaRPr lang="en-US" sz="900"/>
        </a:p>
      </dgm:t>
    </dgm:pt>
    <dgm:pt modelId="{2A8E1EE7-624F-48ED-87B8-D24AF0246C54}" type="sibTrans" cxnId="{9A902325-D790-41CF-B9F1-9E0A17156CC4}">
      <dgm:prSet/>
      <dgm:spPr/>
      <dgm:t>
        <a:bodyPr/>
        <a:lstStyle/>
        <a:p>
          <a:endParaRPr lang="en-US" sz="900"/>
        </a:p>
      </dgm:t>
    </dgm:pt>
    <dgm:pt modelId="{8E410F11-4863-4562-A4BE-387C50227F8C}">
      <dgm:prSet custT="1"/>
      <dgm:spPr>
        <a:solidFill>
          <a:srgbClr val="009A44"/>
        </a:solidFill>
      </dgm:spPr>
      <dgm:t>
        <a:bodyPr/>
        <a:lstStyle/>
        <a:p>
          <a:r>
            <a:rPr lang="es-419" sz="900" b="1"/>
            <a:t>Resultados de Participación y Cotejo de datos de las Empresas </a:t>
          </a:r>
          <a:endParaRPr lang="en-US" sz="900" b="1"/>
        </a:p>
      </dgm:t>
    </dgm:pt>
    <dgm:pt modelId="{4F90CEF3-EF8E-4B90-BF51-23C4BC9C4261}" type="parTrans" cxnId="{13AAABE3-2881-4785-88A3-9C55DEEF2DDE}">
      <dgm:prSet/>
      <dgm:spPr/>
      <dgm:t>
        <a:bodyPr/>
        <a:lstStyle/>
        <a:p>
          <a:endParaRPr lang="en-US" sz="900"/>
        </a:p>
      </dgm:t>
    </dgm:pt>
    <dgm:pt modelId="{FA103FF7-3CB9-4FEE-8F7B-EF0E408D9544}" type="sibTrans" cxnId="{13AAABE3-2881-4785-88A3-9C55DEEF2DDE}">
      <dgm:prSet/>
      <dgm:spPr/>
      <dgm:t>
        <a:bodyPr/>
        <a:lstStyle/>
        <a:p>
          <a:endParaRPr lang="en-US" sz="900"/>
        </a:p>
      </dgm:t>
    </dgm:pt>
    <dgm:pt modelId="{064867B8-0D26-4916-ADC1-0C78DD80DC54}">
      <dgm:prSet custT="1"/>
      <dgm:spPr/>
      <dgm:t>
        <a:bodyPr/>
        <a:lstStyle/>
        <a:p>
          <a:pPr algn="l">
            <a:buFont typeface="Symbol" panose="05050102010706020507" pitchFamily="18" charset="2"/>
            <a:buChar char=""/>
          </a:pPr>
          <a:r>
            <a:rPr lang="es-419" sz="900"/>
            <a:t>Todas las Empresas Extractivas, y todas las Entidades Gubernamentales reportaron los flujos de ingresos en el alcance del cotejo de datos,  excepto Dovemco, cuyos flujos de ingresos en alcance, según lo reportado por las Entidades de Gobierno no alcanzan el 0.1% del total de la recaudación del 2019 y 2020, respectivamente.  </a:t>
          </a:r>
          <a:endParaRPr lang="en-US" sz="900"/>
        </a:p>
      </dgm:t>
    </dgm:pt>
    <dgm:pt modelId="{758E95ED-E5B2-4A0B-A657-CB932CF9484C}" type="parTrans" cxnId="{9F804113-A683-4DF3-8D53-C597B00967E6}">
      <dgm:prSet/>
      <dgm:spPr/>
      <dgm:t>
        <a:bodyPr/>
        <a:lstStyle/>
        <a:p>
          <a:endParaRPr lang="en-US" sz="900"/>
        </a:p>
      </dgm:t>
    </dgm:pt>
    <dgm:pt modelId="{24D5F16A-3A58-433B-84FE-3014452CB652}" type="sibTrans" cxnId="{9F804113-A683-4DF3-8D53-C597B00967E6}">
      <dgm:prSet/>
      <dgm:spPr/>
      <dgm:t>
        <a:bodyPr/>
        <a:lstStyle/>
        <a:p>
          <a:endParaRPr lang="en-US" sz="900"/>
        </a:p>
      </dgm:t>
    </dgm:pt>
    <dgm:pt modelId="{08744357-1F33-488A-BC0B-B36E6CDF53D5}">
      <dgm:prSet custT="1"/>
      <dgm:spPr/>
      <dgm:t>
        <a:bodyPr/>
        <a:lstStyle/>
        <a:p>
          <a:pPr algn="l">
            <a:buFont typeface="Symbol" panose="05050102010706020507" pitchFamily="18" charset="2"/>
            <a:buChar char=""/>
          </a:pPr>
          <a:r>
            <a:rPr lang="es-419" sz="900"/>
            <a:t>El impuesto a la participación de las utilidades netas, el impuesto sobre la renta a las empresas y el retorno neto de fundición minera en 2019 y 2020, representan el 91% y 80%, respectivamente, del total de los flujos de ingresos recaudados por el gobierno, de acuerdo a lo identificado por la CNEITI-RD.</a:t>
          </a:r>
          <a:endParaRPr lang="en-US" sz="900"/>
        </a:p>
      </dgm:t>
    </dgm:pt>
    <dgm:pt modelId="{82C9CD38-BD8F-4FC5-9C22-E00AB7A9C514}" type="parTrans" cxnId="{23F84F09-FE97-4B67-BEB9-0BF5C6E539E9}">
      <dgm:prSet/>
      <dgm:spPr/>
      <dgm:t>
        <a:bodyPr/>
        <a:lstStyle/>
        <a:p>
          <a:endParaRPr lang="en-US" sz="900"/>
        </a:p>
      </dgm:t>
    </dgm:pt>
    <dgm:pt modelId="{B10A94FC-ADB0-4D9B-BE12-844C08C9E74A}" type="sibTrans" cxnId="{23F84F09-FE97-4B67-BEB9-0BF5C6E539E9}">
      <dgm:prSet/>
      <dgm:spPr/>
      <dgm:t>
        <a:bodyPr/>
        <a:lstStyle/>
        <a:p>
          <a:endParaRPr lang="en-US" sz="900"/>
        </a:p>
      </dgm:t>
    </dgm:pt>
    <dgm:pt modelId="{4DFC09F8-4433-4B19-88E4-F4CDBE97A946}">
      <dgm:prSet custT="1"/>
      <dgm:spPr/>
      <dgm:t>
        <a:bodyPr/>
        <a:lstStyle/>
        <a:p>
          <a:pPr algn="l">
            <a:buFont typeface="Symbol" panose="05050102010706020507" pitchFamily="18" charset="2"/>
            <a:buChar char=""/>
          </a:pPr>
          <a:r>
            <a:rPr lang="es-419" sz="900"/>
            <a:t>Las discrepancias que surgieron del cotejo fueron explicadas por las Entidades Gubernamentales y las Empresas Extractivas, exceptuando las diferencias reportadas al MEM para los flujos del año 2019. Estas diferencias no alcanzan el 0.1% del total de flujos cotejados para ese año.</a:t>
          </a:r>
          <a:endParaRPr lang="en-US" sz="900"/>
        </a:p>
      </dgm:t>
    </dgm:pt>
    <dgm:pt modelId="{AE793EB4-200C-4BFA-A566-B6205AC38C41}" type="parTrans" cxnId="{4BA18763-2A31-4815-8454-870505AF5C7F}">
      <dgm:prSet/>
      <dgm:spPr/>
      <dgm:t>
        <a:bodyPr/>
        <a:lstStyle/>
        <a:p>
          <a:endParaRPr lang="en-US" sz="900"/>
        </a:p>
      </dgm:t>
    </dgm:pt>
    <dgm:pt modelId="{953F1CE4-E4EF-4BAD-973F-380F07D60546}" type="sibTrans" cxnId="{4BA18763-2A31-4815-8454-870505AF5C7F}">
      <dgm:prSet/>
      <dgm:spPr/>
      <dgm:t>
        <a:bodyPr/>
        <a:lstStyle/>
        <a:p>
          <a:endParaRPr lang="en-US" sz="900"/>
        </a:p>
      </dgm:t>
    </dgm:pt>
    <dgm:pt modelId="{0362FF6D-1C78-433E-874F-776F420DB409}">
      <dgm:prSet custT="1"/>
      <dgm:spPr/>
      <dgm:t>
        <a:bodyPr/>
        <a:lstStyle/>
        <a:p>
          <a:pPr algn="l">
            <a:buFont typeface="Symbol" panose="05050102010706020507" pitchFamily="18" charset="2"/>
            <a:buChar char=""/>
          </a:pPr>
          <a:r>
            <a:rPr lang="es-419" sz="900"/>
            <a:t>La Dirección General de Impuestos Internos (DGII) recaudó para los años 2019 y 2020, aproximadamente, el 98% y 99%, respectivamente, del total de los flujos de ingresos recaudados por el Gobierno, de acuerdo a lo identificado por la CNEITI-RD.</a:t>
          </a:r>
          <a:endParaRPr lang="en-US" sz="900"/>
        </a:p>
      </dgm:t>
    </dgm:pt>
    <dgm:pt modelId="{433D9320-7CA9-4AF2-B4FE-7AF1DE5DCF76}" type="parTrans" cxnId="{45E59EE9-E792-4291-ADE3-B4C601F8A887}">
      <dgm:prSet/>
      <dgm:spPr/>
      <dgm:t>
        <a:bodyPr/>
        <a:lstStyle/>
        <a:p>
          <a:endParaRPr lang="en-US" sz="900"/>
        </a:p>
      </dgm:t>
    </dgm:pt>
    <dgm:pt modelId="{09B8E187-77A4-4039-8FED-8AC848BA5ECC}" type="sibTrans" cxnId="{45E59EE9-E792-4291-ADE3-B4C601F8A887}">
      <dgm:prSet/>
      <dgm:spPr/>
      <dgm:t>
        <a:bodyPr/>
        <a:lstStyle/>
        <a:p>
          <a:endParaRPr lang="en-US" sz="900"/>
        </a:p>
      </dgm:t>
    </dgm:pt>
    <dgm:pt modelId="{22ADC747-2FEF-4A3C-AA3E-D97DF2F19DCF}">
      <dgm:prSet custT="1"/>
      <dgm:spPr/>
      <dgm:t>
        <a:bodyPr/>
        <a:lstStyle/>
        <a:p>
          <a:pPr algn="l">
            <a:buFont typeface="Symbol" panose="05050102010706020507" pitchFamily="18" charset="2"/>
            <a:buChar char=""/>
          </a:pPr>
          <a:r>
            <a:rPr lang="es-419" sz="900"/>
            <a:t>El 97% y 98% de los flujos de ingresos en alcance del cotejo datos se concentraron en una sola empresa privada, al 2019 y 2020, respectivamente.</a:t>
          </a:r>
          <a:endParaRPr lang="en-US" sz="900"/>
        </a:p>
      </dgm:t>
    </dgm:pt>
    <dgm:pt modelId="{93F8E264-FA8F-404D-B299-C9AC74407681}" type="parTrans" cxnId="{AE60B8AD-AB21-47D2-B9BF-A51A8164DB00}">
      <dgm:prSet/>
      <dgm:spPr/>
      <dgm:t>
        <a:bodyPr/>
        <a:lstStyle/>
        <a:p>
          <a:endParaRPr lang="en-US" sz="900"/>
        </a:p>
      </dgm:t>
    </dgm:pt>
    <dgm:pt modelId="{28F78C47-DC74-4F16-BE9A-DE7D4A4B2DC0}" type="sibTrans" cxnId="{AE60B8AD-AB21-47D2-B9BF-A51A8164DB00}">
      <dgm:prSet/>
      <dgm:spPr/>
      <dgm:t>
        <a:bodyPr/>
        <a:lstStyle/>
        <a:p>
          <a:endParaRPr lang="en-US" sz="900"/>
        </a:p>
      </dgm:t>
    </dgm:pt>
    <dgm:pt modelId="{D68BF373-86CF-4D29-B1A1-EC469A132B8A}">
      <dgm:prSet custT="1"/>
      <dgm:spPr/>
      <dgm:t>
        <a:bodyPr/>
        <a:lstStyle/>
        <a:p>
          <a:pPr algn="l">
            <a:buFont typeface="Symbol" panose="05050102010706020507" pitchFamily="18" charset="2"/>
            <a:buChar char=""/>
          </a:pPr>
          <a:r>
            <a:rPr lang="es-419" sz="900"/>
            <a:t>Los flujos de ingresos cotejados en el Cuarto Informe EITI-RD alcanzaron un 95% y 98% del total de los flujos de ingresos cuantificados por la CNEITI-RD, al 2019 y 2020, respectivamente.</a:t>
          </a:r>
          <a:endParaRPr lang="en-US" sz="900"/>
        </a:p>
      </dgm:t>
    </dgm:pt>
    <dgm:pt modelId="{71AE528F-2BE0-4876-ACE7-F978947E10ED}" type="parTrans" cxnId="{7D5145AE-AF93-4521-8134-7497D66DA5CD}">
      <dgm:prSet/>
      <dgm:spPr/>
      <dgm:t>
        <a:bodyPr/>
        <a:lstStyle/>
        <a:p>
          <a:endParaRPr lang="en-US" sz="900"/>
        </a:p>
      </dgm:t>
    </dgm:pt>
    <dgm:pt modelId="{D3E0D69C-2266-4F32-9869-2585963547DC}" type="sibTrans" cxnId="{7D5145AE-AF93-4521-8134-7497D66DA5CD}">
      <dgm:prSet/>
      <dgm:spPr/>
      <dgm:t>
        <a:bodyPr/>
        <a:lstStyle/>
        <a:p>
          <a:endParaRPr lang="en-US" sz="900"/>
        </a:p>
      </dgm:t>
    </dgm:pt>
    <dgm:pt modelId="{F93162F4-1853-4C51-96D8-2584C004B8F5}" type="pres">
      <dgm:prSet presAssocID="{CCBAF6DB-514F-41FE-AD3A-B0DC17755731}" presName="diagram" presStyleCnt="0">
        <dgm:presLayoutVars>
          <dgm:chPref val="1"/>
          <dgm:dir/>
          <dgm:animOne val="branch"/>
          <dgm:animLvl val="lvl"/>
          <dgm:resizeHandles/>
        </dgm:presLayoutVars>
      </dgm:prSet>
      <dgm:spPr/>
    </dgm:pt>
    <dgm:pt modelId="{22D7684D-A4CA-467F-9CF9-2C7A23E2C689}" type="pres">
      <dgm:prSet presAssocID="{49F9D11E-A8FA-4303-B2FF-7C09D89AB105}" presName="root" presStyleCnt="0"/>
      <dgm:spPr/>
    </dgm:pt>
    <dgm:pt modelId="{0FF06FF9-4924-4302-A9D6-309090A28998}" type="pres">
      <dgm:prSet presAssocID="{49F9D11E-A8FA-4303-B2FF-7C09D89AB105}" presName="rootComposite" presStyleCnt="0"/>
      <dgm:spPr/>
    </dgm:pt>
    <dgm:pt modelId="{DF6F4792-772C-4C37-A593-A9B9DA32C6BF}" type="pres">
      <dgm:prSet presAssocID="{49F9D11E-A8FA-4303-B2FF-7C09D89AB105}" presName="rootText" presStyleLbl="node1" presStyleIdx="0" presStyleCnt="2" custScaleX="126757"/>
      <dgm:spPr/>
    </dgm:pt>
    <dgm:pt modelId="{3357F957-90C5-458C-AE79-0F39D6AF1EBB}" type="pres">
      <dgm:prSet presAssocID="{49F9D11E-A8FA-4303-B2FF-7C09D89AB105}" presName="rootConnector" presStyleLbl="node1" presStyleIdx="0" presStyleCnt="2"/>
      <dgm:spPr/>
    </dgm:pt>
    <dgm:pt modelId="{AB2C707B-50F0-4C42-9C33-25DC3CEB8D69}" type="pres">
      <dgm:prSet presAssocID="{49F9D11E-A8FA-4303-B2FF-7C09D89AB105}" presName="childShape" presStyleCnt="0"/>
      <dgm:spPr/>
    </dgm:pt>
    <dgm:pt modelId="{A024A61C-B5E4-4D1F-B84E-0E144343A585}" type="pres">
      <dgm:prSet presAssocID="{AA2FCF3E-6F50-46B7-8031-7710DD3AE9C8}" presName="Name13" presStyleLbl="parChTrans1D2" presStyleIdx="0" presStyleCnt="13"/>
      <dgm:spPr/>
    </dgm:pt>
    <dgm:pt modelId="{44969759-ADD2-4C25-8A01-3CE8EE410C42}" type="pres">
      <dgm:prSet presAssocID="{FF389A40-A84F-460B-9BFF-90AF64DDC621}" presName="childText" presStyleLbl="bgAcc1" presStyleIdx="0" presStyleCnt="13" custScaleX="219381">
        <dgm:presLayoutVars>
          <dgm:bulletEnabled val="1"/>
        </dgm:presLayoutVars>
      </dgm:prSet>
      <dgm:spPr/>
    </dgm:pt>
    <dgm:pt modelId="{4951BC47-1CDA-4CDD-9B6A-B66A4DA39DA3}" type="pres">
      <dgm:prSet presAssocID="{CA10DCD3-DD3B-415C-8D2C-2797F7CCDA69}" presName="Name13" presStyleLbl="parChTrans1D2" presStyleIdx="1" presStyleCnt="13"/>
      <dgm:spPr/>
    </dgm:pt>
    <dgm:pt modelId="{E58673F4-7530-4E0F-91AD-1B0072DF5D51}" type="pres">
      <dgm:prSet presAssocID="{3C7DFDF5-3FD2-40FF-B63F-65692A49192C}" presName="childText" presStyleLbl="bgAcc1" presStyleIdx="1" presStyleCnt="13" custScaleX="219381">
        <dgm:presLayoutVars>
          <dgm:bulletEnabled val="1"/>
        </dgm:presLayoutVars>
      </dgm:prSet>
      <dgm:spPr/>
    </dgm:pt>
    <dgm:pt modelId="{75EE9187-A99D-4420-B5B7-20F3EB0E0467}" type="pres">
      <dgm:prSet presAssocID="{B079CCB4-3C81-4DDA-9FEA-2191342F03E1}" presName="Name13" presStyleLbl="parChTrans1D2" presStyleIdx="2" presStyleCnt="13"/>
      <dgm:spPr/>
    </dgm:pt>
    <dgm:pt modelId="{24961B20-6824-4974-AB52-82830E9A432D}" type="pres">
      <dgm:prSet presAssocID="{B6D47D8A-F9F6-4037-876B-E9351993953C}" presName="childText" presStyleLbl="bgAcc1" presStyleIdx="2" presStyleCnt="13" custScaleX="219381">
        <dgm:presLayoutVars>
          <dgm:bulletEnabled val="1"/>
        </dgm:presLayoutVars>
      </dgm:prSet>
      <dgm:spPr/>
    </dgm:pt>
    <dgm:pt modelId="{44C2E03D-D937-4755-98A4-CFDB2AA23E08}" type="pres">
      <dgm:prSet presAssocID="{0B18BD46-16CB-439A-AB26-705C8E02DB1E}" presName="Name13" presStyleLbl="parChTrans1D2" presStyleIdx="3" presStyleCnt="13"/>
      <dgm:spPr/>
    </dgm:pt>
    <dgm:pt modelId="{7390D032-9B7B-497A-8270-8921D2508105}" type="pres">
      <dgm:prSet presAssocID="{C0576B75-6EF6-4BC9-A6E1-9DE92522CCC2}" presName="childText" presStyleLbl="bgAcc1" presStyleIdx="3" presStyleCnt="13" custScaleX="219381">
        <dgm:presLayoutVars>
          <dgm:bulletEnabled val="1"/>
        </dgm:presLayoutVars>
      </dgm:prSet>
      <dgm:spPr/>
    </dgm:pt>
    <dgm:pt modelId="{299D4E51-F878-44D5-A392-649762A7D559}" type="pres">
      <dgm:prSet presAssocID="{BC94EC11-5A9F-469D-B20C-3A8EDC6758F9}" presName="Name13" presStyleLbl="parChTrans1D2" presStyleIdx="4" presStyleCnt="13"/>
      <dgm:spPr/>
    </dgm:pt>
    <dgm:pt modelId="{1ED1F4D2-AAA6-4545-ABDC-E1B372E61B40}" type="pres">
      <dgm:prSet presAssocID="{0B139606-0047-40A5-8354-BD65D9D94995}" presName="childText" presStyleLbl="bgAcc1" presStyleIdx="4" presStyleCnt="13" custScaleX="219381">
        <dgm:presLayoutVars>
          <dgm:bulletEnabled val="1"/>
        </dgm:presLayoutVars>
      </dgm:prSet>
      <dgm:spPr/>
    </dgm:pt>
    <dgm:pt modelId="{130BF0DF-9160-4C3C-8852-FC2A3AD00D87}" type="pres">
      <dgm:prSet presAssocID="{25ECBE6C-00C7-4EA3-A09C-273E3E4C5BBE}" presName="Name13" presStyleLbl="parChTrans1D2" presStyleIdx="5" presStyleCnt="13"/>
      <dgm:spPr/>
    </dgm:pt>
    <dgm:pt modelId="{A2AC68CD-24C0-4FD5-B936-C6D2F83EA5CB}" type="pres">
      <dgm:prSet presAssocID="{ABD028C8-941D-46B6-BFBF-D44B76F76899}" presName="childText" presStyleLbl="bgAcc1" presStyleIdx="5" presStyleCnt="13" custScaleX="219381">
        <dgm:presLayoutVars>
          <dgm:bulletEnabled val="1"/>
        </dgm:presLayoutVars>
      </dgm:prSet>
      <dgm:spPr/>
    </dgm:pt>
    <dgm:pt modelId="{E8A15613-C55F-4637-9278-C80105287EC3}" type="pres">
      <dgm:prSet presAssocID="{11D936A7-D135-46F6-BBAD-4CF9C7A0C933}" presName="Name13" presStyleLbl="parChTrans1D2" presStyleIdx="6" presStyleCnt="13"/>
      <dgm:spPr/>
    </dgm:pt>
    <dgm:pt modelId="{D75A419F-79D8-4DD0-A7C4-9A34F89E1057}" type="pres">
      <dgm:prSet presAssocID="{3E92963F-70B3-4788-9F69-D0F340D8641C}" presName="childText" presStyleLbl="bgAcc1" presStyleIdx="6" presStyleCnt="13" custScaleX="219381">
        <dgm:presLayoutVars>
          <dgm:bulletEnabled val="1"/>
        </dgm:presLayoutVars>
      </dgm:prSet>
      <dgm:spPr/>
    </dgm:pt>
    <dgm:pt modelId="{759B39A2-66D9-43C0-888D-7E81A5F1DC42}" type="pres">
      <dgm:prSet presAssocID="{8E410F11-4863-4562-A4BE-387C50227F8C}" presName="root" presStyleCnt="0"/>
      <dgm:spPr/>
    </dgm:pt>
    <dgm:pt modelId="{92631003-DCF7-4CE6-93CB-6844747F6D4E}" type="pres">
      <dgm:prSet presAssocID="{8E410F11-4863-4562-A4BE-387C50227F8C}" presName="rootComposite" presStyleCnt="0"/>
      <dgm:spPr/>
    </dgm:pt>
    <dgm:pt modelId="{6C461088-593B-48A4-957C-A8006146B3BF}" type="pres">
      <dgm:prSet presAssocID="{8E410F11-4863-4562-A4BE-387C50227F8C}" presName="rootText" presStyleLbl="node1" presStyleIdx="1" presStyleCnt="2" custScaleX="126757"/>
      <dgm:spPr/>
    </dgm:pt>
    <dgm:pt modelId="{1863EE12-8508-4975-B959-A5FE2BF43FAF}" type="pres">
      <dgm:prSet presAssocID="{8E410F11-4863-4562-A4BE-387C50227F8C}" presName="rootConnector" presStyleLbl="node1" presStyleIdx="1" presStyleCnt="2"/>
      <dgm:spPr/>
    </dgm:pt>
    <dgm:pt modelId="{42977095-6A98-4A0F-A083-1934339F84DF}" type="pres">
      <dgm:prSet presAssocID="{8E410F11-4863-4562-A4BE-387C50227F8C}" presName="childShape" presStyleCnt="0"/>
      <dgm:spPr/>
    </dgm:pt>
    <dgm:pt modelId="{DD72BC7C-F376-41E9-9CD0-97038398C54F}" type="pres">
      <dgm:prSet presAssocID="{758E95ED-E5B2-4A0B-A657-CB932CF9484C}" presName="Name13" presStyleLbl="parChTrans1D2" presStyleIdx="7" presStyleCnt="13"/>
      <dgm:spPr/>
    </dgm:pt>
    <dgm:pt modelId="{A617E1EF-A1BA-4BAD-98CF-5B287ACC0BCF}" type="pres">
      <dgm:prSet presAssocID="{064867B8-0D26-4916-ADC1-0C78DD80DC54}" presName="childText" presStyleLbl="bgAcc1" presStyleIdx="7" presStyleCnt="13" custScaleX="219381">
        <dgm:presLayoutVars>
          <dgm:bulletEnabled val="1"/>
        </dgm:presLayoutVars>
      </dgm:prSet>
      <dgm:spPr/>
    </dgm:pt>
    <dgm:pt modelId="{64F3DC00-FCD3-49A8-9F97-A0B5B9B277AD}" type="pres">
      <dgm:prSet presAssocID="{82C9CD38-BD8F-4FC5-9C22-E00AB7A9C514}" presName="Name13" presStyleLbl="parChTrans1D2" presStyleIdx="8" presStyleCnt="13"/>
      <dgm:spPr/>
    </dgm:pt>
    <dgm:pt modelId="{33972D0D-3B74-4E68-9812-E4FAC211F65A}" type="pres">
      <dgm:prSet presAssocID="{08744357-1F33-488A-BC0B-B36E6CDF53D5}" presName="childText" presStyleLbl="bgAcc1" presStyleIdx="8" presStyleCnt="13" custScaleX="219381">
        <dgm:presLayoutVars>
          <dgm:bulletEnabled val="1"/>
        </dgm:presLayoutVars>
      </dgm:prSet>
      <dgm:spPr/>
    </dgm:pt>
    <dgm:pt modelId="{6A282605-38D4-45C0-8A68-E1652B8D1ACD}" type="pres">
      <dgm:prSet presAssocID="{AE793EB4-200C-4BFA-A566-B6205AC38C41}" presName="Name13" presStyleLbl="parChTrans1D2" presStyleIdx="9" presStyleCnt="13"/>
      <dgm:spPr/>
    </dgm:pt>
    <dgm:pt modelId="{3862474E-CDB3-4CBD-B31A-07AA3D595995}" type="pres">
      <dgm:prSet presAssocID="{4DFC09F8-4433-4B19-88E4-F4CDBE97A946}" presName="childText" presStyleLbl="bgAcc1" presStyleIdx="9" presStyleCnt="13" custScaleX="219381">
        <dgm:presLayoutVars>
          <dgm:bulletEnabled val="1"/>
        </dgm:presLayoutVars>
      </dgm:prSet>
      <dgm:spPr/>
    </dgm:pt>
    <dgm:pt modelId="{9D18076D-4313-45F1-95BE-AF0656F8F72B}" type="pres">
      <dgm:prSet presAssocID="{433D9320-7CA9-4AF2-B4FE-7AF1DE5DCF76}" presName="Name13" presStyleLbl="parChTrans1D2" presStyleIdx="10" presStyleCnt="13"/>
      <dgm:spPr/>
    </dgm:pt>
    <dgm:pt modelId="{74B7C81C-CB39-4601-BD87-53AC7AE35968}" type="pres">
      <dgm:prSet presAssocID="{0362FF6D-1C78-433E-874F-776F420DB409}" presName="childText" presStyleLbl="bgAcc1" presStyleIdx="10" presStyleCnt="13" custScaleX="219381">
        <dgm:presLayoutVars>
          <dgm:bulletEnabled val="1"/>
        </dgm:presLayoutVars>
      </dgm:prSet>
      <dgm:spPr/>
    </dgm:pt>
    <dgm:pt modelId="{68ABD988-1E7D-4C81-BEC7-7F0E01610986}" type="pres">
      <dgm:prSet presAssocID="{93F8E264-FA8F-404D-B299-C9AC74407681}" presName="Name13" presStyleLbl="parChTrans1D2" presStyleIdx="11" presStyleCnt="13"/>
      <dgm:spPr/>
    </dgm:pt>
    <dgm:pt modelId="{D939B824-2066-4418-8822-A5D35920B1CA}" type="pres">
      <dgm:prSet presAssocID="{22ADC747-2FEF-4A3C-AA3E-D97DF2F19DCF}" presName="childText" presStyleLbl="bgAcc1" presStyleIdx="11" presStyleCnt="13" custScaleX="219381">
        <dgm:presLayoutVars>
          <dgm:bulletEnabled val="1"/>
        </dgm:presLayoutVars>
      </dgm:prSet>
      <dgm:spPr/>
    </dgm:pt>
    <dgm:pt modelId="{72D3A9DC-C4E6-4718-ABD4-67F54D900D0F}" type="pres">
      <dgm:prSet presAssocID="{71AE528F-2BE0-4876-ACE7-F978947E10ED}" presName="Name13" presStyleLbl="parChTrans1D2" presStyleIdx="12" presStyleCnt="13"/>
      <dgm:spPr/>
    </dgm:pt>
    <dgm:pt modelId="{D71B5755-0886-410B-BF73-E8C0B841A08D}" type="pres">
      <dgm:prSet presAssocID="{D68BF373-86CF-4D29-B1A1-EC469A132B8A}" presName="childText" presStyleLbl="bgAcc1" presStyleIdx="12" presStyleCnt="13" custScaleX="219381">
        <dgm:presLayoutVars>
          <dgm:bulletEnabled val="1"/>
        </dgm:presLayoutVars>
      </dgm:prSet>
      <dgm:spPr/>
    </dgm:pt>
  </dgm:ptLst>
  <dgm:cxnLst>
    <dgm:cxn modelId="{F3F58700-022F-4B48-A9A5-96F51910CC34}" type="presOf" srcId="{22ADC747-2FEF-4A3C-AA3E-D97DF2F19DCF}" destId="{D939B824-2066-4418-8822-A5D35920B1CA}" srcOrd="0" destOrd="0" presId="urn:microsoft.com/office/officeart/2005/8/layout/hierarchy3"/>
    <dgm:cxn modelId="{49A38C00-0537-4A3F-8AC6-73E6DB34D8BA}" type="presOf" srcId="{25ECBE6C-00C7-4EA3-A09C-273E3E4C5BBE}" destId="{130BF0DF-9160-4C3C-8852-FC2A3AD00D87}" srcOrd="0" destOrd="0" presId="urn:microsoft.com/office/officeart/2005/8/layout/hierarchy3"/>
    <dgm:cxn modelId="{23F84F09-FE97-4B67-BEB9-0BF5C6E539E9}" srcId="{8E410F11-4863-4562-A4BE-387C50227F8C}" destId="{08744357-1F33-488A-BC0B-B36E6CDF53D5}" srcOrd="1" destOrd="0" parTransId="{82C9CD38-BD8F-4FC5-9C22-E00AB7A9C514}" sibTransId="{B10A94FC-ADB0-4D9B-BE12-844C08C9E74A}"/>
    <dgm:cxn modelId="{D9BDC90B-D7F5-4598-9C40-03A6563A8A81}" type="presOf" srcId="{4DFC09F8-4433-4B19-88E4-F4CDBE97A946}" destId="{3862474E-CDB3-4CBD-B31A-07AA3D595995}" srcOrd="0" destOrd="0" presId="urn:microsoft.com/office/officeart/2005/8/layout/hierarchy3"/>
    <dgm:cxn modelId="{9F804113-A683-4DF3-8D53-C597B00967E6}" srcId="{8E410F11-4863-4562-A4BE-387C50227F8C}" destId="{064867B8-0D26-4916-ADC1-0C78DD80DC54}" srcOrd="0" destOrd="0" parTransId="{758E95ED-E5B2-4A0B-A657-CB932CF9484C}" sibTransId="{24D5F16A-3A58-433B-84FE-3014452CB652}"/>
    <dgm:cxn modelId="{FC9A7116-CD17-4A83-96B4-155C13D2D90E}" srcId="{49F9D11E-A8FA-4303-B2FF-7C09D89AB105}" destId="{B6D47D8A-F9F6-4037-876B-E9351993953C}" srcOrd="2" destOrd="0" parTransId="{B079CCB4-3C81-4DDA-9FEA-2191342F03E1}" sibTransId="{BA1C3913-5C8C-41B5-B541-AAB1A2BFA68E}"/>
    <dgm:cxn modelId="{2A627A18-FF0C-42B9-B9D0-663EA096F448}" type="presOf" srcId="{11D936A7-D135-46F6-BBAD-4CF9C7A0C933}" destId="{E8A15613-C55F-4637-9278-C80105287EC3}" srcOrd="0" destOrd="0" presId="urn:microsoft.com/office/officeart/2005/8/layout/hierarchy3"/>
    <dgm:cxn modelId="{BCD0E918-FEE5-41CC-ADF3-B36D03EDAA1F}" type="presOf" srcId="{0B18BD46-16CB-439A-AB26-705C8E02DB1E}" destId="{44C2E03D-D937-4755-98A4-CFDB2AA23E08}" srcOrd="0" destOrd="0" presId="urn:microsoft.com/office/officeart/2005/8/layout/hierarchy3"/>
    <dgm:cxn modelId="{0A2AD31C-9CC7-4A93-AE3E-295BBE00C60E}" type="presOf" srcId="{CA10DCD3-DD3B-415C-8D2C-2797F7CCDA69}" destId="{4951BC47-1CDA-4CDD-9B6A-B66A4DA39DA3}" srcOrd="0" destOrd="0" presId="urn:microsoft.com/office/officeart/2005/8/layout/hierarchy3"/>
    <dgm:cxn modelId="{533CFD1D-8404-4D0B-BD7F-931EA5797FBD}" type="presOf" srcId="{49F9D11E-A8FA-4303-B2FF-7C09D89AB105}" destId="{3357F957-90C5-458C-AE79-0F39D6AF1EBB}" srcOrd="1" destOrd="0" presId="urn:microsoft.com/office/officeart/2005/8/layout/hierarchy3"/>
    <dgm:cxn modelId="{7A6E491F-8366-456E-A24A-1B3E8C3C1316}" type="presOf" srcId="{BC94EC11-5A9F-469D-B20C-3A8EDC6758F9}" destId="{299D4E51-F878-44D5-A392-649762A7D559}" srcOrd="0" destOrd="0" presId="urn:microsoft.com/office/officeart/2005/8/layout/hierarchy3"/>
    <dgm:cxn modelId="{27877B24-C2DB-4920-870A-9D65D9475299}" type="presOf" srcId="{B079CCB4-3C81-4DDA-9FEA-2191342F03E1}" destId="{75EE9187-A99D-4420-B5B7-20F3EB0E0467}" srcOrd="0" destOrd="0" presId="urn:microsoft.com/office/officeart/2005/8/layout/hierarchy3"/>
    <dgm:cxn modelId="{9A902325-D790-41CF-B9F1-9E0A17156CC4}" srcId="{49F9D11E-A8FA-4303-B2FF-7C09D89AB105}" destId="{3E92963F-70B3-4788-9F69-D0F340D8641C}" srcOrd="6" destOrd="0" parTransId="{11D936A7-D135-46F6-BBAD-4CF9C7A0C933}" sibTransId="{2A8E1EE7-624F-48ED-87B8-D24AF0246C54}"/>
    <dgm:cxn modelId="{0D550234-A5A6-498F-9483-CECF7C2DB3B5}" type="presOf" srcId="{0B139606-0047-40A5-8354-BD65D9D94995}" destId="{1ED1F4D2-AAA6-4545-ABDC-E1B372E61B40}" srcOrd="0" destOrd="0" presId="urn:microsoft.com/office/officeart/2005/8/layout/hierarchy3"/>
    <dgm:cxn modelId="{77DFAD36-2A23-43A5-B99F-0711EB7D690D}" srcId="{49F9D11E-A8FA-4303-B2FF-7C09D89AB105}" destId="{0B139606-0047-40A5-8354-BD65D9D94995}" srcOrd="4" destOrd="0" parTransId="{BC94EC11-5A9F-469D-B20C-3A8EDC6758F9}" sibTransId="{CDEC9050-1E75-4F38-A58C-962CAE6C3E20}"/>
    <dgm:cxn modelId="{4FFDC538-E775-4B85-B7FD-F06745B567C1}" type="presOf" srcId="{3E92963F-70B3-4788-9F69-D0F340D8641C}" destId="{D75A419F-79D8-4DD0-A7C4-9A34F89E1057}" srcOrd="0" destOrd="0" presId="urn:microsoft.com/office/officeart/2005/8/layout/hierarchy3"/>
    <dgm:cxn modelId="{ABBEAE3A-E32D-47A3-B968-10CA604061E4}" type="presOf" srcId="{8E410F11-4863-4562-A4BE-387C50227F8C}" destId="{1863EE12-8508-4975-B959-A5FE2BF43FAF}" srcOrd="1" destOrd="0" presId="urn:microsoft.com/office/officeart/2005/8/layout/hierarchy3"/>
    <dgm:cxn modelId="{3A06DC3A-AA73-48C7-A066-1E4DB1A32DB5}" type="presOf" srcId="{433D9320-7CA9-4AF2-B4FE-7AF1DE5DCF76}" destId="{9D18076D-4313-45F1-95BE-AF0656F8F72B}" srcOrd="0" destOrd="0" presId="urn:microsoft.com/office/officeart/2005/8/layout/hierarchy3"/>
    <dgm:cxn modelId="{D7E7473B-B80B-4B50-B434-FA243E71642F}" srcId="{49F9D11E-A8FA-4303-B2FF-7C09D89AB105}" destId="{C0576B75-6EF6-4BC9-A6E1-9DE92522CCC2}" srcOrd="3" destOrd="0" parTransId="{0B18BD46-16CB-439A-AB26-705C8E02DB1E}" sibTransId="{81233A39-F364-412D-A397-B57E9535D75F}"/>
    <dgm:cxn modelId="{9D2EF841-9C08-497F-9E0F-37FD4D61C32D}" type="presOf" srcId="{82C9CD38-BD8F-4FC5-9C22-E00AB7A9C514}" destId="{64F3DC00-FCD3-49A8-9F97-A0B5B9B277AD}" srcOrd="0" destOrd="0" presId="urn:microsoft.com/office/officeart/2005/8/layout/hierarchy3"/>
    <dgm:cxn modelId="{13AEFD41-A00D-4A97-BD27-F2779FFF932B}" type="presOf" srcId="{71AE528F-2BE0-4876-ACE7-F978947E10ED}" destId="{72D3A9DC-C4E6-4718-ABD4-67F54D900D0F}" srcOrd="0" destOrd="0" presId="urn:microsoft.com/office/officeart/2005/8/layout/hierarchy3"/>
    <dgm:cxn modelId="{4BA18763-2A31-4815-8454-870505AF5C7F}" srcId="{8E410F11-4863-4562-A4BE-387C50227F8C}" destId="{4DFC09F8-4433-4B19-88E4-F4CDBE97A946}" srcOrd="2" destOrd="0" parTransId="{AE793EB4-200C-4BFA-A566-B6205AC38C41}" sibTransId="{953F1CE4-E4EF-4BAD-973F-380F07D60546}"/>
    <dgm:cxn modelId="{15DA5767-F682-4C7E-9891-8ED7FBD6DDEF}" type="presOf" srcId="{AA2FCF3E-6F50-46B7-8031-7710DD3AE9C8}" destId="{A024A61C-B5E4-4D1F-B84E-0E144343A585}" srcOrd="0" destOrd="0" presId="urn:microsoft.com/office/officeart/2005/8/layout/hierarchy3"/>
    <dgm:cxn modelId="{E884536B-5EE3-4207-BE8B-47EBBC99D5AB}" srcId="{49F9D11E-A8FA-4303-B2FF-7C09D89AB105}" destId="{ABD028C8-941D-46B6-BFBF-D44B76F76899}" srcOrd="5" destOrd="0" parTransId="{25ECBE6C-00C7-4EA3-A09C-273E3E4C5BBE}" sibTransId="{EE4DDD19-FBE5-4451-B5B2-B65707B18E95}"/>
    <dgm:cxn modelId="{2C6E586B-B7DC-4DDB-A21D-6C58A63752FA}" type="presOf" srcId="{FF389A40-A84F-460B-9BFF-90AF64DDC621}" destId="{44969759-ADD2-4C25-8A01-3CE8EE410C42}" srcOrd="0" destOrd="0" presId="urn:microsoft.com/office/officeart/2005/8/layout/hierarchy3"/>
    <dgm:cxn modelId="{65F4C26F-C0E8-479B-97AF-441EA363B96B}" type="presOf" srcId="{08744357-1F33-488A-BC0B-B36E6CDF53D5}" destId="{33972D0D-3B74-4E68-9812-E4FAC211F65A}" srcOrd="0" destOrd="0" presId="urn:microsoft.com/office/officeart/2005/8/layout/hierarchy3"/>
    <dgm:cxn modelId="{58EAB671-FB11-4AE9-9F5A-EE00E377B25F}" type="presOf" srcId="{C0576B75-6EF6-4BC9-A6E1-9DE92522CCC2}" destId="{7390D032-9B7B-497A-8270-8921D2508105}" srcOrd="0" destOrd="0" presId="urn:microsoft.com/office/officeart/2005/8/layout/hierarchy3"/>
    <dgm:cxn modelId="{489B2B72-5AB0-473B-8095-91268BAE37C2}" srcId="{49F9D11E-A8FA-4303-B2FF-7C09D89AB105}" destId="{FF389A40-A84F-460B-9BFF-90AF64DDC621}" srcOrd="0" destOrd="0" parTransId="{AA2FCF3E-6F50-46B7-8031-7710DD3AE9C8}" sibTransId="{B98BA85B-5C37-455B-9F3C-42C9EB6706DF}"/>
    <dgm:cxn modelId="{964F3953-0F83-4A72-9383-5B64AE3CF513}" type="presOf" srcId="{CCBAF6DB-514F-41FE-AD3A-B0DC17755731}" destId="{F93162F4-1853-4C51-96D8-2584C004B8F5}" srcOrd="0" destOrd="0" presId="urn:microsoft.com/office/officeart/2005/8/layout/hierarchy3"/>
    <dgm:cxn modelId="{577C4473-4D75-4593-AB67-595257938C64}" type="presOf" srcId="{0362FF6D-1C78-433E-874F-776F420DB409}" destId="{74B7C81C-CB39-4601-BD87-53AC7AE35968}" srcOrd="0" destOrd="0" presId="urn:microsoft.com/office/officeart/2005/8/layout/hierarchy3"/>
    <dgm:cxn modelId="{C30BE677-C4DB-44B6-96A8-162C0D28BE4D}" srcId="{49F9D11E-A8FA-4303-B2FF-7C09D89AB105}" destId="{3C7DFDF5-3FD2-40FF-B63F-65692A49192C}" srcOrd="1" destOrd="0" parTransId="{CA10DCD3-DD3B-415C-8D2C-2797F7CCDA69}" sibTransId="{796102ED-BCE4-4934-9902-A8B0A96002D5}"/>
    <dgm:cxn modelId="{BB70C48A-CA01-4F04-8E5B-5EFEE28CC1FD}" type="presOf" srcId="{93F8E264-FA8F-404D-B299-C9AC74407681}" destId="{68ABD988-1E7D-4C81-BEC7-7F0E01610986}" srcOrd="0" destOrd="0" presId="urn:microsoft.com/office/officeart/2005/8/layout/hierarchy3"/>
    <dgm:cxn modelId="{CE96D58A-B589-4287-BB8A-511986DBB83B}" type="presOf" srcId="{8E410F11-4863-4562-A4BE-387C50227F8C}" destId="{6C461088-593B-48A4-957C-A8006146B3BF}" srcOrd="0" destOrd="0" presId="urn:microsoft.com/office/officeart/2005/8/layout/hierarchy3"/>
    <dgm:cxn modelId="{1F75BE93-C8C2-4933-89AF-F6C07F9B88D1}" type="presOf" srcId="{758E95ED-E5B2-4A0B-A657-CB932CF9484C}" destId="{DD72BC7C-F376-41E9-9CD0-97038398C54F}" srcOrd="0" destOrd="0" presId="urn:microsoft.com/office/officeart/2005/8/layout/hierarchy3"/>
    <dgm:cxn modelId="{FE882A99-D1E9-4C50-9716-5FD0C9EAD4AB}" type="presOf" srcId="{D68BF373-86CF-4D29-B1A1-EC469A132B8A}" destId="{D71B5755-0886-410B-BF73-E8C0B841A08D}" srcOrd="0" destOrd="0" presId="urn:microsoft.com/office/officeart/2005/8/layout/hierarchy3"/>
    <dgm:cxn modelId="{B835919A-F2BE-43AF-A58F-B527F8952123}" type="presOf" srcId="{B6D47D8A-F9F6-4037-876B-E9351993953C}" destId="{24961B20-6824-4974-AB52-82830E9A432D}" srcOrd="0" destOrd="0" presId="urn:microsoft.com/office/officeart/2005/8/layout/hierarchy3"/>
    <dgm:cxn modelId="{AE60B8AD-AB21-47D2-B9BF-A51A8164DB00}" srcId="{8E410F11-4863-4562-A4BE-387C50227F8C}" destId="{22ADC747-2FEF-4A3C-AA3E-D97DF2F19DCF}" srcOrd="4" destOrd="0" parTransId="{93F8E264-FA8F-404D-B299-C9AC74407681}" sibTransId="{28F78C47-DC74-4F16-BE9A-DE7D4A4B2DC0}"/>
    <dgm:cxn modelId="{7D5145AE-AF93-4521-8134-7497D66DA5CD}" srcId="{8E410F11-4863-4562-A4BE-387C50227F8C}" destId="{D68BF373-86CF-4D29-B1A1-EC469A132B8A}" srcOrd="5" destOrd="0" parTransId="{71AE528F-2BE0-4876-ACE7-F978947E10ED}" sibTransId="{D3E0D69C-2266-4F32-9869-2585963547DC}"/>
    <dgm:cxn modelId="{663628C3-802D-4927-9009-9909A9C4EB43}" type="presOf" srcId="{ABD028C8-941D-46B6-BFBF-D44B76F76899}" destId="{A2AC68CD-24C0-4FD5-B936-C6D2F83EA5CB}" srcOrd="0" destOrd="0" presId="urn:microsoft.com/office/officeart/2005/8/layout/hierarchy3"/>
    <dgm:cxn modelId="{079707D0-21A0-4DC4-B3E9-383724AF77B1}" type="presOf" srcId="{3C7DFDF5-3FD2-40FF-B63F-65692A49192C}" destId="{E58673F4-7530-4E0F-91AD-1B0072DF5D51}" srcOrd="0" destOrd="0" presId="urn:microsoft.com/office/officeart/2005/8/layout/hierarchy3"/>
    <dgm:cxn modelId="{13AAABE3-2881-4785-88A3-9C55DEEF2DDE}" srcId="{CCBAF6DB-514F-41FE-AD3A-B0DC17755731}" destId="{8E410F11-4863-4562-A4BE-387C50227F8C}" srcOrd="1" destOrd="0" parTransId="{4F90CEF3-EF8E-4B90-BF51-23C4BC9C4261}" sibTransId="{FA103FF7-3CB9-4FEE-8F7B-EF0E408D9544}"/>
    <dgm:cxn modelId="{9FC786E6-7DBA-4BAB-BC23-74C7FD983128}" srcId="{CCBAF6DB-514F-41FE-AD3A-B0DC17755731}" destId="{49F9D11E-A8FA-4303-B2FF-7C09D89AB105}" srcOrd="0" destOrd="0" parTransId="{A082A545-786E-46C8-B42C-F82EEAC61EF6}" sibTransId="{F8AE4071-0CAC-4356-9809-A3A7D6CE564C}"/>
    <dgm:cxn modelId="{45E59EE9-E792-4291-ADE3-B4C601F8A887}" srcId="{8E410F11-4863-4562-A4BE-387C50227F8C}" destId="{0362FF6D-1C78-433E-874F-776F420DB409}" srcOrd="3" destOrd="0" parTransId="{433D9320-7CA9-4AF2-B4FE-7AF1DE5DCF76}" sibTransId="{09B8E187-77A4-4039-8FED-8AC848BA5ECC}"/>
    <dgm:cxn modelId="{6A618AED-F5BC-4ED7-BA8D-E19CE9B4DFFC}" type="presOf" srcId="{064867B8-0D26-4916-ADC1-0C78DD80DC54}" destId="{A617E1EF-A1BA-4BAD-98CF-5B287ACC0BCF}" srcOrd="0" destOrd="0" presId="urn:microsoft.com/office/officeart/2005/8/layout/hierarchy3"/>
    <dgm:cxn modelId="{85A260FA-D8C5-4C17-A1B3-A7F5D1583F02}" type="presOf" srcId="{AE793EB4-200C-4BFA-A566-B6205AC38C41}" destId="{6A282605-38D4-45C0-8A68-E1652B8D1ACD}" srcOrd="0" destOrd="0" presId="urn:microsoft.com/office/officeart/2005/8/layout/hierarchy3"/>
    <dgm:cxn modelId="{EAAE0FFF-9974-4699-B89D-A4302D66D652}" type="presOf" srcId="{49F9D11E-A8FA-4303-B2FF-7C09D89AB105}" destId="{DF6F4792-772C-4C37-A593-A9B9DA32C6BF}" srcOrd="0" destOrd="0" presId="urn:microsoft.com/office/officeart/2005/8/layout/hierarchy3"/>
    <dgm:cxn modelId="{A302781D-540A-48B7-9328-7C6F74929CDA}" type="presParOf" srcId="{F93162F4-1853-4C51-96D8-2584C004B8F5}" destId="{22D7684D-A4CA-467F-9CF9-2C7A23E2C689}" srcOrd="0" destOrd="0" presId="urn:microsoft.com/office/officeart/2005/8/layout/hierarchy3"/>
    <dgm:cxn modelId="{2CF9945C-F352-4956-A673-B99D923BE8ED}" type="presParOf" srcId="{22D7684D-A4CA-467F-9CF9-2C7A23E2C689}" destId="{0FF06FF9-4924-4302-A9D6-309090A28998}" srcOrd="0" destOrd="0" presId="urn:microsoft.com/office/officeart/2005/8/layout/hierarchy3"/>
    <dgm:cxn modelId="{B6E2AA5A-C250-482D-A721-DBC35D97AF0B}" type="presParOf" srcId="{0FF06FF9-4924-4302-A9D6-309090A28998}" destId="{DF6F4792-772C-4C37-A593-A9B9DA32C6BF}" srcOrd="0" destOrd="0" presId="urn:microsoft.com/office/officeart/2005/8/layout/hierarchy3"/>
    <dgm:cxn modelId="{8BBBCB7B-598B-4C22-9276-42C7C9AAA33B}" type="presParOf" srcId="{0FF06FF9-4924-4302-A9D6-309090A28998}" destId="{3357F957-90C5-458C-AE79-0F39D6AF1EBB}" srcOrd="1" destOrd="0" presId="urn:microsoft.com/office/officeart/2005/8/layout/hierarchy3"/>
    <dgm:cxn modelId="{43EA2EC9-2C1D-42AC-9011-18EF0910D255}" type="presParOf" srcId="{22D7684D-A4CA-467F-9CF9-2C7A23E2C689}" destId="{AB2C707B-50F0-4C42-9C33-25DC3CEB8D69}" srcOrd="1" destOrd="0" presId="urn:microsoft.com/office/officeart/2005/8/layout/hierarchy3"/>
    <dgm:cxn modelId="{47DD91ED-2EE6-4E4C-9CF4-A145D5E8D08E}" type="presParOf" srcId="{AB2C707B-50F0-4C42-9C33-25DC3CEB8D69}" destId="{A024A61C-B5E4-4D1F-B84E-0E144343A585}" srcOrd="0" destOrd="0" presId="urn:microsoft.com/office/officeart/2005/8/layout/hierarchy3"/>
    <dgm:cxn modelId="{419D1142-554D-46BF-8BA3-C1D1EDEA5443}" type="presParOf" srcId="{AB2C707B-50F0-4C42-9C33-25DC3CEB8D69}" destId="{44969759-ADD2-4C25-8A01-3CE8EE410C42}" srcOrd="1" destOrd="0" presId="urn:microsoft.com/office/officeart/2005/8/layout/hierarchy3"/>
    <dgm:cxn modelId="{77DCF932-9F75-4647-B42B-2C38F96560C8}" type="presParOf" srcId="{AB2C707B-50F0-4C42-9C33-25DC3CEB8D69}" destId="{4951BC47-1CDA-4CDD-9B6A-B66A4DA39DA3}" srcOrd="2" destOrd="0" presId="urn:microsoft.com/office/officeart/2005/8/layout/hierarchy3"/>
    <dgm:cxn modelId="{6D0B52E2-A257-431D-987D-ADF9E466EB46}" type="presParOf" srcId="{AB2C707B-50F0-4C42-9C33-25DC3CEB8D69}" destId="{E58673F4-7530-4E0F-91AD-1B0072DF5D51}" srcOrd="3" destOrd="0" presId="urn:microsoft.com/office/officeart/2005/8/layout/hierarchy3"/>
    <dgm:cxn modelId="{059BB159-D250-43AD-A6F5-F545EB68BE29}" type="presParOf" srcId="{AB2C707B-50F0-4C42-9C33-25DC3CEB8D69}" destId="{75EE9187-A99D-4420-B5B7-20F3EB0E0467}" srcOrd="4" destOrd="0" presId="urn:microsoft.com/office/officeart/2005/8/layout/hierarchy3"/>
    <dgm:cxn modelId="{84D178B7-3830-4F77-9FA3-2415F06AC508}" type="presParOf" srcId="{AB2C707B-50F0-4C42-9C33-25DC3CEB8D69}" destId="{24961B20-6824-4974-AB52-82830E9A432D}" srcOrd="5" destOrd="0" presId="urn:microsoft.com/office/officeart/2005/8/layout/hierarchy3"/>
    <dgm:cxn modelId="{F73F3F77-5921-4256-9FAA-FB71FAAFC989}" type="presParOf" srcId="{AB2C707B-50F0-4C42-9C33-25DC3CEB8D69}" destId="{44C2E03D-D937-4755-98A4-CFDB2AA23E08}" srcOrd="6" destOrd="0" presId="urn:microsoft.com/office/officeart/2005/8/layout/hierarchy3"/>
    <dgm:cxn modelId="{91F8F7E4-02BC-4F87-A025-7096AB4C66E7}" type="presParOf" srcId="{AB2C707B-50F0-4C42-9C33-25DC3CEB8D69}" destId="{7390D032-9B7B-497A-8270-8921D2508105}" srcOrd="7" destOrd="0" presId="urn:microsoft.com/office/officeart/2005/8/layout/hierarchy3"/>
    <dgm:cxn modelId="{1EAD9E14-9D0A-4BAC-9922-F0D062C695FC}" type="presParOf" srcId="{AB2C707B-50F0-4C42-9C33-25DC3CEB8D69}" destId="{299D4E51-F878-44D5-A392-649762A7D559}" srcOrd="8" destOrd="0" presId="urn:microsoft.com/office/officeart/2005/8/layout/hierarchy3"/>
    <dgm:cxn modelId="{9BE2DABB-F679-4FB8-84A8-1014C138A759}" type="presParOf" srcId="{AB2C707B-50F0-4C42-9C33-25DC3CEB8D69}" destId="{1ED1F4D2-AAA6-4545-ABDC-E1B372E61B40}" srcOrd="9" destOrd="0" presId="urn:microsoft.com/office/officeart/2005/8/layout/hierarchy3"/>
    <dgm:cxn modelId="{2283D155-4A54-447B-B1EB-096120F85F64}" type="presParOf" srcId="{AB2C707B-50F0-4C42-9C33-25DC3CEB8D69}" destId="{130BF0DF-9160-4C3C-8852-FC2A3AD00D87}" srcOrd="10" destOrd="0" presId="urn:microsoft.com/office/officeart/2005/8/layout/hierarchy3"/>
    <dgm:cxn modelId="{3E74C661-D09A-43B1-9080-430BF0A27E90}" type="presParOf" srcId="{AB2C707B-50F0-4C42-9C33-25DC3CEB8D69}" destId="{A2AC68CD-24C0-4FD5-B936-C6D2F83EA5CB}" srcOrd="11" destOrd="0" presId="urn:microsoft.com/office/officeart/2005/8/layout/hierarchy3"/>
    <dgm:cxn modelId="{10B8CACB-E8C6-4333-9AB7-9D349B8A9282}" type="presParOf" srcId="{AB2C707B-50F0-4C42-9C33-25DC3CEB8D69}" destId="{E8A15613-C55F-4637-9278-C80105287EC3}" srcOrd="12" destOrd="0" presId="urn:microsoft.com/office/officeart/2005/8/layout/hierarchy3"/>
    <dgm:cxn modelId="{2354771A-7F16-44C7-B95C-9C71B526A82F}" type="presParOf" srcId="{AB2C707B-50F0-4C42-9C33-25DC3CEB8D69}" destId="{D75A419F-79D8-4DD0-A7C4-9A34F89E1057}" srcOrd="13" destOrd="0" presId="urn:microsoft.com/office/officeart/2005/8/layout/hierarchy3"/>
    <dgm:cxn modelId="{F89E1F3F-CFE5-4EE7-BD3B-D5F52461FA02}" type="presParOf" srcId="{F93162F4-1853-4C51-96D8-2584C004B8F5}" destId="{759B39A2-66D9-43C0-888D-7E81A5F1DC42}" srcOrd="1" destOrd="0" presId="urn:microsoft.com/office/officeart/2005/8/layout/hierarchy3"/>
    <dgm:cxn modelId="{EF181AE6-820E-4880-8CBD-33EDE7CA1C50}" type="presParOf" srcId="{759B39A2-66D9-43C0-888D-7E81A5F1DC42}" destId="{92631003-DCF7-4CE6-93CB-6844747F6D4E}" srcOrd="0" destOrd="0" presId="urn:microsoft.com/office/officeart/2005/8/layout/hierarchy3"/>
    <dgm:cxn modelId="{1F191CE0-7E95-42C7-BE4F-CCCF1DB26033}" type="presParOf" srcId="{92631003-DCF7-4CE6-93CB-6844747F6D4E}" destId="{6C461088-593B-48A4-957C-A8006146B3BF}" srcOrd="0" destOrd="0" presId="urn:microsoft.com/office/officeart/2005/8/layout/hierarchy3"/>
    <dgm:cxn modelId="{CBE7D1DC-4304-463A-ABF0-0C835EC8B9C1}" type="presParOf" srcId="{92631003-DCF7-4CE6-93CB-6844747F6D4E}" destId="{1863EE12-8508-4975-B959-A5FE2BF43FAF}" srcOrd="1" destOrd="0" presId="urn:microsoft.com/office/officeart/2005/8/layout/hierarchy3"/>
    <dgm:cxn modelId="{0E61FDFE-024F-4EE3-9525-C37BA2852C65}" type="presParOf" srcId="{759B39A2-66D9-43C0-888D-7E81A5F1DC42}" destId="{42977095-6A98-4A0F-A083-1934339F84DF}" srcOrd="1" destOrd="0" presId="urn:microsoft.com/office/officeart/2005/8/layout/hierarchy3"/>
    <dgm:cxn modelId="{475B390E-73E6-44B9-A5E0-AB62ACC15B6C}" type="presParOf" srcId="{42977095-6A98-4A0F-A083-1934339F84DF}" destId="{DD72BC7C-F376-41E9-9CD0-97038398C54F}" srcOrd="0" destOrd="0" presId="urn:microsoft.com/office/officeart/2005/8/layout/hierarchy3"/>
    <dgm:cxn modelId="{EAA6091B-54B8-471A-9625-2B3D063EF9D5}" type="presParOf" srcId="{42977095-6A98-4A0F-A083-1934339F84DF}" destId="{A617E1EF-A1BA-4BAD-98CF-5B287ACC0BCF}" srcOrd="1" destOrd="0" presId="urn:microsoft.com/office/officeart/2005/8/layout/hierarchy3"/>
    <dgm:cxn modelId="{87AECF20-D840-474C-B6C1-276CF673B915}" type="presParOf" srcId="{42977095-6A98-4A0F-A083-1934339F84DF}" destId="{64F3DC00-FCD3-49A8-9F97-A0B5B9B277AD}" srcOrd="2" destOrd="0" presId="urn:microsoft.com/office/officeart/2005/8/layout/hierarchy3"/>
    <dgm:cxn modelId="{26159BE6-5FAD-4ABC-9901-65049C111F77}" type="presParOf" srcId="{42977095-6A98-4A0F-A083-1934339F84DF}" destId="{33972D0D-3B74-4E68-9812-E4FAC211F65A}" srcOrd="3" destOrd="0" presId="urn:microsoft.com/office/officeart/2005/8/layout/hierarchy3"/>
    <dgm:cxn modelId="{96FDDF2B-76DC-4C9E-81FB-950A40D853E8}" type="presParOf" srcId="{42977095-6A98-4A0F-A083-1934339F84DF}" destId="{6A282605-38D4-45C0-8A68-E1652B8D1ACD}" srcOrd="4" destOrd="0" presId="urn:microsoft.com/office/officeart/2005/8/layout/hierarchy3"/>
    <dgm:cxn modelId="{0C9F166B-EB2B-414B-867A-F62B773A8231}" type="presParOf" srcId="{42977095-6A98-4A0F-A083-1934339F84DF}" destId="{3862474E-CDB3-4CBD-B31A-07AA3D595995}" srcOrd="5" destOrd="0" presId="urn:microsoft.com/office/officeart/2005/8/layout/hierarchy3"/>
    <dgm:cxn modelId="{852563FC-1628-46F6-B30F-5ACDBB18B8B7}" type="presParOf" srcId="{42977095-6A98-4A0F-A083-1934339F84DF}" destId="{9D18076D-4313-45F1-95BE-AF0656F8F72B}" srcOrd="6" destOrd="0" presId="urn:microsoft.com/office/officeart/2005/8/layout/hierarchy3"/>
    <dgm:cxn modelId="{B381614F-548B-4DA2-851E-DC16D5DBAFD4}" type="presParOf" srcId="{42977095-6A98-4A0F-A083-1934339F84DF}" destId="{74B7C81C-CB39-4601-BD87-53AC7AE35968}" srcOrd="7" destOrd="0" presId="urn:microsoft.com/office/officeart/2005/8/layout/hierarchy3"/>
    <dgm:cxn modelId="{FD4773D7-FEBD-4ACA-9C5F-DDE48481E948}" type="presParOf" srcId="{42977095-6A98-4A0F-A083-1934339F84DF}" destId="{68ABD988-1E7D-4C81-BEC7-7F0E01610986}" srcOrd="8" destOrd="0" presId="urn:microsoft.com/office/officeart/2005/8/layout/hierarchy3"/>
    <dgm:cxn modelId="{2D3AFD9D-AEF6-48F6-BF8F-1BA490E6587C}" type="presParOf" srcId="{42977095-6A98-4A0F-A083-1934339F84DF}" destId="{D939B824-2066-4418-8822-A5D35920B1CA}" srcOrd="9" destOrd="0" presId="urn:microsoft.com/office/officeart/2005/8/layout/hierarchy3"/>
    <dgm:cxn modelId="{A57774AA-65D1-4A00-8DE8-AC94C74D1B6D}" type="presParOf" srcId="{42977095-6A98-4A0F-A083-1934339F84DF}" destId="{72D3A9DC-C4E6-4718-ABD4-67F54D900D0F}" srcOrd="10" destOrd="0" presId="urn:microsoft.com/office/officeart/2005/8/layout/hierarchy3"/>
    <dgm:cxn modelId="{FD701C1A-98C3-49AB-ACC6-B88198C06085}" type="presParOf" srcId="{42977095-6A98-4A0F-A083-1934339F84DF}" destId="{D71B5755-0886-410B-BF73-E8C0B841A08D}" srcOrd="1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F4792-772C-4C37-A593-A9B9DA32C6BF}">
      <dsp:nvSpPr>
        <dsp:cNvPr id="0" name=""/>
        <dsp:cNvSpPr/>
      </dsp:nvSpPr>
      <dsp:spPr>
        <a:xfrm>
          <a:off x="1682" y="105808"/>
          <a:ext cx="2054906" cy="810569"/>
        </a:xfrm>
        <a:prstGeom prst="roundRect">
          <a:avLst>
            <a:gd name="adj" fmla="val 10000"/>
          </a:avLst>
        </a:prstGeom>
        <a:solidFill>
          <a:srgbClr val="2C523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419" sz="900" b="1" kern="1200"/>
            <a:t>Ingresos de la Industria Extractiva en República Dominicana</a:t>
          </a:r>
          <a:endParaRPr lang="en-US" sz="900" b="1" kern="1200"/>
        </a:p>
      </dsp:txBody>
      <dsp:txXfrm>
        <a:off x="25423" y="129549"/>
        <a:ext cx="2007424" cy="763087"/>
      </dsp:txXfrm>
    </dsp:sp>
    <dsp:sp modelId="{A024A61C-B5E4-4D1F-B84E-0E144343A585}">
      <dsp:nvSpPr>
        <dsp:cNvPr id="0" name=""/>
        <dsp:cNvSpPr/>
      </dsp:nvSpPr>
      <dsp:spPr>
        <a:xfrm>
          <a:off x="207173" y="916377"/>
          <a:ext cx="205490" cy="607926"/>
        </a:xfrm>
        <a:custGeom>
          <a:avLst/>
          <a:gdLst/>
          <a:ahLst/>
          <a:cxnLst/>
          <a:rect l="0" t="0" r="0" b="0"/>
          <a:pathLst>
            <a:path>
              <a:moveTo>
                <a:pt x="0" y="0"/>
              </a:moveTo>
              <a:lnTo>
                <a:pt x="0" y="607926"/>
              </a:lnTo>
              <a:lnTo>
                <a:pt x="205490" y="60792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69759-ADD2-4C25-8A01-3CE8EE410C42}">
      <dsp:nvSpPr>
        <dsp:cNvPr id="0" name=""/>
        <dsp:cNvSpPr/>
      </dsp:nvSpPr>
      <dsp:spPr>
        <a:xfrm>
          <a:off x="412664" y="1119019"/>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Cuarto Informe EITI de República Dominicana e incluye 2 años cotejados, 2019 y 2020.</a:t>
          </a:r>
          <a:endParaRPr lang="en-US" sz="900" kern="1200"/>
        </a:p>
      </dsp:txBody>
      <dsp:txXfrm>
        <a:off x="436405" y="1142760"/>
        <a:ext cx="2797693" cy="763087"/>
      </dsp:txXfrm>
    </dsp:sp>
    <dsp:sp modelId="{4951BC47-1CDA-4CDD-9B6A-B66A4DA39DA3}">
      <dsp:nvSpPr>
        <dsp:cNvPr id="0" name=""/>
        <dsp:cNvSpPr/>
      </dsp:nvSpPr>
      <dsp:spPr>
        <a:xfrm>
          <a:off x="207173" y="916377"/>
          <a:ext cx="205490" cy="1621138"/>
        </a:xfrm>
        <a:custGeom>
          <a:avLst/>
          <a:gdLst/>
          <a:ahLst/>
          <a:cxnLst/>
          <a:rect l="0" t="0" r="0" b="0"/>
          <a:pathLst>
            <a:path>
              <a:moveTo>
                <a:pt x="0" y="0"/>
              </a:moveTo>
              <a:lnTo>
                <a:pt x="0" y="1621138"/>
              </a:lnTo>
              <a:lnTo>
                <a:pt x="205490" y="162113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8673F4-7530-4E0F-91AD-1B0072DF5D51}">
      <dsp:nvSpPr>
        <dsp:cNvPr id="0" name=""/>
        <dsp:cNvSpPr/>
      </dsp:nvSpPr>
      <dsp:spPr>
        <a:xfrm>
          <a:off x="412664" y="2132231"/>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De las 5 empresas que componen la industria extractiva pertenecientes al sector de la minería metálica, que fueron identificadas por la CNEITI-RD, fueron invitadas 4 empresas a participar en el cotejo de datos del 4to. Informe EITI.</a:t>
          </a:r>
          <a:endParaRPr lang="en-US" sz="900" kern="1200"/>
        </a:p>
      </dsp:txBody>
      <dsp:txXfrm>
        <a:off x="436405" y="2155972"/>
        <a:ext cx="2797693" cy="763087"/>
      </dsp:txXfrm>
    </dsp:sp>
    <dsp:sp modelId="{75EE9187-A99D-4420-B5B7-20F3EB0E0467}">
      <dsp:nvSpPr>
        <dsp:cNvPr id="0" name=""/>
        <dsp:cNvSpPr/>
      </dsp:nvSpPr>
      <dsp:spPr>
        <a:xfrm>
          <a:off x="207173" y="916377"/>
          <a:ext cx="205490" cy="2634349"/>
        </a:xfrm>
        <a:custGeom>
          <a:avLst/>
          <a:gdLst/>
          <a:ahLst/>
          <a:cxnLst/>
          <a:rect l="0" t="0" r="0" b="0"/>
          <a:pathLst>
            <a:path>
              <a:moveTo>
                <a:pt x="0" y="0"/>
              </a:moveTo>
              <a:lnTo>
                <a:pt x="0" y="2634349"/>
              </a:lnTo>
              <a:lnTo>
                <a:pt x="205490" y="263434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961B20-6824-4974-AB52-82830E9A432D}">
      <dsp:nvSpPr>
        <dsp:cNvPr id="0" name=""/>
        <dsp:cNvSpPr/>
      </dsp:nvSpPr>
      <dsp:spPr>
        <a:xfrm>
          <a:off x="412664" y="3145442"/>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7 entidades gubernamentales son los responsables de las recaudaciones de los flujos de ingresos generados por la industria extractiva en los años 2019 y 2020, conforme a lo identificado por la CNEITI-RD.</a:t>
          </a:r>
          <a:endParaRPr lang="en-US" sz="900" kern="1200"/>
        </a:p>
      </dsp:txBody>
      <dsp:txXfrm>
        <a:off x="436405" y="3169183"/>
        <a:ext cx="2797693" cy="763087"/>
      </dsp:txXfrm>
    </dsp:sp>
    <dsp:sp modelId="{44C2E03D-D937-4755-98A4-CFDB2AA23E08}">
      <dsp:nvSpPr>
        <dsp:cNvPr id="0" name=""/>
        <dsp:cNvSpPr/>
      </dsp:nvSpPr>
      <dsp:spPr>
        <a:xfrm>
          <a:off x="207173" y="916377"/>
          <a:ext cx="205490" cy="3647560"/>
        </a:xfrm>
        <a:custGeom>
          <a:avLst/>
          <a:gdLst/>
          <a:ahLst/>
          <a:cxnLst/>
          <a:rect l="0" t="0" r="0" b="0"/>
          <a:pathLst>
            <a:path>
              <a:moveTo>
                <a:pt x="0" y="0"/>
              </a:moveTo>
              <a:lnTo>
                <a:pt x="0" y="3647560"/>
              </a:lnTo>
              <a:lnTo>
                <a:pt x="205490" y="364756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0D032-9B7B-497A-8270-8921D2508105}">
      <dsp:nvSpPr>
        <dsp:cNvPr id="0" name=""/>
        <dsp:cNvSpPr/>
      </dsp:nvSpPr>
      <dsp:spPr>
        <a:xfrm>
          <a:off x="412664" y="4158653"/>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Se incluyeron en el cotejo de datos 4 de las 7 entidades gubernamentales identificadas por la CNEITI-RD.</a:t>
          </a:r>
          <a:endParaRPr lang="en-US" sz="900" kern="1200"/>
        </a:p>
      </dsp:txBody>
      <dsp:txXfrm>
        <a:off x="436405" y="4182394"/>
        <a:ext cx="2797693" cy="763087"/>
      </dsp:txXfrm>
    </dsp:sp>
    <dsp:sp modelId="{299D4E51-F878-44D5-A392-649762A7D559}">
      <dsp:nvSpPr>
        <dsp:cNvPr id="0" name=""/>
        <dsp:cNvSpPr/>
      </dsp:nvSpPr>
      <dsp:spPr>
        <a:xfrm>
          <a:off x="207173" y="916377"/>
          <a:ext cx="205490" cy="4660772"/>
        </a:xfrm>
        <a:custGeom>
          <a:avLst/>
          <a:gdLst/>
          <a:ahLst/>
          <a:cxnLst/>
          <a:rect l="0" t="0" r="0" b="0"/>
          <a:pathLst>
            <a:path>
              <a:moveTo>
                <a:pt x="0" y="0"/>
              </a:moveTo>
              <a:lnTo>
                <a:pt x="0" y="4660772"/>
              </a:lnTo>
              <a:lnTo>
                <a:pt x="205490" y="466077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1F4D2-AAA6-4545-ABDC-E1B372E61B40}">
      <dsp:nvSpPr>
        <dsp:cNvPr id="0" name=""/>
        <dsp:cNvSpPr/>
      </dsp:nvSpPr>
      <dsp:spPr>
        <a:xfrm>
          <a:off x="412664" y="5171864"/>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La CNEITI-RD identificó y cuantificó RD$12,021 millones y RD$24,169 millones, respectivamente, correspondientes a los flujos de ingresos recaudados (sin ITBIS) del sector minero en República Dominicana en los años 2019 y 2020.</a:t>
          </a:r>
          <a:endParaRPr lang="en-US" sz="900" kern="1200"/>
        </a:p>
      </dsp:txBody>
      <dsp:txXfrm>
        <a:off x="436405" y="5195605"/>
        <a:ext cx="2797693" cy="763087"/>
      </dsp:txXfrm>
    </dsp:sp>
    <dsp:sp modelId="{130BF0DF-9160-4C3C-8852-FC2A3AD00D87}">
      <dsp:nvSpPr>
        <dsp:cNvPr id="0" name=""/>
        <dsp:cNvSpPr/>
      </dsp:nvSpPr>
      <dsp:spPr>
        <a:xfrm>
          <a:off x="207173" y="916377"/>
          <a:ext cx="205490" cy="5673983"/>
        </a:xfrm>
        <a:custGeom>
          <a:avLst/>
          <a:gdLst/>
          <a:ahLst/>
          <a:cxnLst/>
          <a:rect l="0" t="0" r="0" b="0"/>
          <a:pathLst>
            <a:path>
              <a:moveTo>
                <a:pt x="0" y="0"/>
              </a:moveTo>
              <a:lnTo>
                <a:pt x="0" y="5673983"/>
              </a:lnTo>
              <a:lnTo>
                <a:pt x="205490" y="567398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C68CD-24C0-4FD5-B936-C6D2F83EA5CB}">
      <dsp:nvSpPr>
        <dsp:cNvPr id="0" name=""/>
        <dsp:cNvSpPr/>
      </dsp:nvSpPr>
      <dsp:spPr>
        <a:xfrm>
          <a:off x="412664" y="6185076"/>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La CNEITI-RD decidió establecer una materialidad de, por lo menos, un 92% del total de los flujos recaudados por las entidades gubernamentales para el Cuarto Informe EITI-RD.</a:t>
          </a:r>
          <a:endParaRPr lang="en-US" sz="900" kern="1200"/>
        </a:p>
      </dsp:txBody>
      <dsp:txXfrm>
        <a:off x="436405" y="6208817"/>
        <a:ext cx="2797693" cy="763087"/>
      </dsp:txXfrm>
    </dsp:sp>
    <dsp:sp modelId="{E8A15613-C55F-4637-9278-C80105287EC3}">
      <dsp:nvSpPr>
        <dsp:cNvPr id="0" name=""/>
        <dsp:cNvSpPr/>
      </dsp:nvSpPr>
      <dsp:spPr>
        <a:xfrm>
          <a:off x="207173" y="916377"/>
          <a:ext cx="205490" cy="6687194"/>
        </a:xfrm>
        <a:custGeom>
          <a:avLst/>
          <a:gdLst/>
          <a:ahLst/>
          <a:cxnLst/>
          <a:rect l="0" t="0" r="0" b="0"/>
          <a:pathLst>
            <a:path>
              <a:moveTo>
                <a:pt x="0" y="0"/>
              </a:moveTo>
              <a:lnTo>
                <a:pt x="0" y="6687194"/>
              </a:lnTo>
              <a:lnTo>
                <a:pt x="205490" y="668719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419F-79D8-4DD0-A7C4-9A34F89E1057}">
      <dsp:nvSpPr>
        <dsp:cNvPr id="0" name=""/>
        <dsp:cNvSpPr/>
      </dsp:nvSpPr>
      <dsp:spPr>
        <a:xfrm>
          <a:off x="412664" y="7198287"/>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La CNEITI-RD estableció como inmateriales para el año 2019 y 2020, los flujos de ingresos que sean iguales o menores al 1% de los ingresos totales recaudados por el Gobierno Dominicano, aplicables a la iniciativa, lo que equivale a RD$120.2 millones y RD$241.6 millones, respectivamente (Actas de la CNEITI-RD No. 08-2021).</a:t>
          </a:r>
          <a:endParaRPr lang="en-US" sz="900" kern="1200"/>
        </a:p>
      </dsp:txBody>
      <dsp:txXfrm>
        <a:off x="436405" y="7222028"/>
        <a:ext cx="2797693" cy="763087"/>
      </dsp:txXfrm>
    </dsp:sp>
    <dsp:sp modelId="{6C461088-593B-48A4-957C-A8006146B3BF}">
      <dsp:nvSpPr>
        <dsp:cNvPr id="0" name=""/>
        <dsp:cNvSpPr/>
      </dsp:nvSpPr>
      <dsp:spPr>
        <a:xfrm>
          <a:off x="3252142" y="105808"/>
          <a:ext cx="2054906" cy="810569"/>
        </a:xfrm>
        <a:prstGeom prst="roundRect">
          <a:avLst>
            <a:gd name="adj" fmla="val 10000"/>
          </a:avLst>
        </a:prstGeom>
        <a:solidFill>
          <a:srgbClr val="009A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419" sz="900" b="1" kern="1200"/>
            <a:t>Resultados de Participación y Cotejo de datos de las Empresas </a:t>
          </a:r>
          <a:endParaRPr lang="en-US" sz="900" b="1" kern="1200"/>
        </a:p>
      </dsp:txBody>
      <dsp:txXfrm>
        <a:off x="3275883" y="129549"/>
        <a:ext cx="2007424" cy="763087"/>
      </dsp:txXfrm>
    </dsp:sp>
    <dsp:sp modelId="{DD72BC7C-F376-41E9-9CD0-97038398C54F}">
      <dsp:nvSpPr>
        <dsp:cNvPr id="0" name=""/>
        <dsp:cNvSpPr/>
      </dsp:nvSpPr>
      <dsp:spPr>
        <a:xfrm>
          <a:off x="3457633" y="916377"/>
          <a:ext cx="205490" cy="607926"/>
        </a:xfrm>
        <a:custGeom>
          <a:avLst/>
          <a:gdLst/>
          <a:ahLst/>
          <a:cxnLst/>
          <a:rect l="0" t="0" r="0" b="0"/>
          <a:pathLst>
            <a:path>
              <a:moveTo>
                <a:pt x="0" y="0"/>
              </a:moveTo>
              <a:lnTo>
                <a:pt x="0" y="607926"/>
              </a:lnTo>
              <a:lnTo>
                <a:pt x="205490" y="60792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7E1EF-A1BA-4BAD-98CF-5B287ACC0BCF}">
      <dsp:nvSpPr>
        <dsp:cNvPr id="0" name=""/>
        <dsp:cNvSpPr/>
      </dsp:nvSpPr>
      <dsp:spPr>
        <a:xfrm>
          <a:off x="3663123" y="1119019"/>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Todas las Empresas Extractivas, y todas las Entidades Gubernamentales reportaron los flujos de ingresos en el alcance del cotejo de datos,  excepto Dovemco, cuyos flujos de ingresos en alcance, según lo reportado por las Entidades de Gobierno no alcanzan el 0.1% del total de la recaudación del 2019 y 2020, respectivamente.  </a:t>
          </a:r>
          <a:endParaRPr lang="en-US" sz="900" kern="1200"/>
        </a:p>
      </dsp:txBody>
      <dsp:txXfrm>
        <a:off x="3686864" y="1142760"/>
        <a:ext cx="2797693" cy="763087"/>
      </dsp:txXfrm>
    </dsp:sp>
    <dsp:sp modelId="{64F3DC00-FCD3-49A8-9F97-A0B5B9B277AD}">
      <dsp:nvSpPr>
        <dsp:cNvPr id="0" name=""/>
        <dsp:cNvSpPr/>
      </dsp:nvSpPr>
      <dsp:spPr>
        <a:xfrm>
          <a:off x="3457633" y="916377"/>
          <a:ext cx="205490" cy="1621138"/>
        </a:xfrm>
        <a:custGeom>
          <a:avLst/>
          <a:gdLst/>
          <a:ahLst/>
          <a:cxnLst/>
          <a:rect l="0" t="0" r="0" b="0"/>
          <a:pathLst>
            <a:path>
              <a:moveTo>
                <a:pt x="0" y="0"/>
              </a:moveTo>
              <a:lnTo>
                <a:pt x="0" y="1621138"/>
              </a:lnTo>
              <a:lnTo>
                <a:pt x="205490" y="162113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972D0D-3B74-4E68-9812-E4FAC211F65A}">
      <dsp:nvSpPr>
        <dsp:cNvPr id="0" name=""/>
        <dsp:cNvSpPr/>
      </dsp:nvSpPr>
      <dsp:spPr>
        <a:xfrm>
          <a:off x="3663123" y="2132231"/>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El impuesto a la participación de las utilidades netas, el impuesto sobre la renta a las empresas y el retorno neto de fundición minera en 2019 y 2020, representan el 91% y 80%, respectivamente, del total de los flujos de ingresos recaudados por el gobierno, de acuerdo a lo identificado por la CNEITI-RD.</a:t>
          </a:r>
          <a:endParaRPr lang="en-US" sz="900" kern="1200"/>
        </a:p>
      </dsp:txBody>
      <dsp:txXfrm>
        <a:off x="3686864" y="2155972"/>
        <a:ext cx="2797693" cy="763087"/>
      </dsp:txXfrm>
    </dsp:sp>
    <dsp:sp modelId="{6A282605-38D4-45C0-8A68-E1652B8D1ACD}">
      <dsp:nvSpPr>
        <dsp:cNvPr id="0" name=""/>
        <dsp:cNvSpPr/>
      </dsp:nvSpPr>
      <dsp:spPr>
        <a:xfrm>
          <a:off x="3457633" y="916377"/>
          <a:ext cx="205490" cy="2634349"/>
        </a:xfrm>
        <a:custGeom>
          <a:avLst/>
          <a:gdLst/>
          <a:ahLst/>
          <a:cxnLst/>
          <a:rect l="0" t="0" r="0" b="0"/>
          <a:pathLst>
            <a:path>
              <a:moveTo>
                <a:pt x="0" y="0"/>
              </a:moveTo>
              <a:lnTo>
                <a:pt x="0" y="2634349"/>
              </a:lnTo>
              <a:lnTo>
                <a:pt x="205490" y="263434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2474E-CDB3-4CBD-B31A-07AA3D595995}">
      <dsp:nvSpPr>
        <dsp:cNvPr id="0" name=""/>
        <dsp:cNvSpPr/>
      </dsp:nvSpPr>
      <dsp:spPr>
        <a:xfrm>
          <a:off x="3663123" y="3145442"/>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Las discrepancias que surgieron del cotejo fueron explicadas por las Entidades Gubernamentales y las Empresas Extractivas, exceptuando las diferencias reportadas al MEM para los flujos del año 2019. Estas diferencias no alcanzan el 0.1% del total de flujos cotejados para ese año.</a:t>
          </a:r>
          <a:endParaRPr lang="en-US" sz="900" kern="1200"/>
        </a:p>
      </dsp:txBody>
      <dsp:txXfrm>
        <a:off x="3686864" y="3169183"/>
        <a:ext cx="2797693" cy="763087"/>
      </dsp:txXfrm>
    </dsp:sp>
    <dsp:sp modelId="{9D18076D-4313-45F1-95BE-AF0656F8F72B}">
      <dsp:nvSpPr>
        <dsp:cNvPr id="0" name=""/>
        <dsp:cNvSpPr/>
      </dsp:nvSpPr>
      <dsp:spPr>
        <a:xfrm>
          <a:off x="3457633" y="916377"/>
          <a:ext cx="205490" cy="3647560"/>
        </a:xfrm>
        <a:custGeom>
          <a:avLst/>
          <a:gdLst/>
          <a:ahLst/>
          <a:cxnLst/>
          <a:rect l="0" t="0" r="0" b="0"/>
          <a:pathLst>
            <a:path>
              <a:moveTo>
                <a:pt x="0" y="0"/>
              </a:moveTo>
              <a:lnTo>
                <a:pt x="0" y="3647560"/>
              </a:lnTo>
              <a:lnTo>
                <a:pt x="205490" y="364756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B7C81C-CB39-4601-BD87-53AC7AE35968}">
      <dsp:nvSpPr>
        <dsp:cNvPr id="0" name=""/>
        <dsp:cNvSpPr/>
      </dsp:nvSpPr>
      <dsp:spPr>
        <a:xfrm>
          <a:off x="3663123" y="4158653"/>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La Dirección General de Impuestos Internos (DGII) recaudó para los años 2019 y 2020, aproximadamente, el 98% y 99%, respectivamente, del total de los flujos de ingresos recaudados por el Gobierno, de acuerdo a lo identificado por la CNEITI-RD.</a:t>
          </a:r>
          <a:endParaRPr lang="en-US" sz="900" kern="1200"/>
        </a:p>
      </dsp:txBody>
      <dsp:txXfrm>
        <a:off x="3686864" y="4182394"/>
        <a:ext cx="2797693" cy="763087"/>
      </dsp:txXfrm>
    </dsp:sp>
    <dsp:sp modelId="{68ABD988-1E7D-4C81-BEC7-7F0E01610986}">
      <dsp:nvSpPr>
        <dsp:cNvPr id="0" name=""/>
        <dsp:cNvSpPr/>
      </dsp:nvSpPr>
      <dsp:spPr>
        <a:xfrm>
          <a:off x="3457633" y="916377"/>
          <a:ext cx="205490" cy="4660772"/>
        </a:xfrm>
        <a:custGeom>
          <a:avLst/>
          <a:gdLst/>
          <a:ahLst/>
          <a:cxnLst/>
          <a:rect l="0" t="0" r="0" b="0"/>
          <a:pathLst>
            <a:path>
              <a:moveTo>
                <a:pt x="0" y="0"/>
              </a:moveTo>
              <a:lnTo>
                <a:pt x="0" y="4660772"/>
              </a:lnTo>
              <a:lnTo>
                <a:pt x="205490" y="466077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9B824-2066-4418-8822-A5D35920B1CA}">
      <dsp:nvSpPr>
        <dsp:cNvPr id="0" name=""/>
        <dsp:cNvSpPr/>
      </dsp:nvSpPr>
      <dsp:spPr>
        <a:xfrm>
          <a:off x="3663123" y="5171864"/>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El 97% y 98% de los flujos de ingresos en alcance del cotejo datos se concentraron en una sola empresa privada, al 2019 y 2020, respectivamente.</a:t>
          </a:r>
          <a:endParaRPr lang="en-US" sz="900" kern="1200"/>
        </a:p>
      </dsp:txBody>
      <dsp:txXfrm>
        <a:off x="3686864" y="5195605"/>
        <a:ext cx="2797693" cy="763087"/>
      </dsp:txXfrm>
    </dsp:sp>
    <dsp:sp modelId="{72D3A9DC-C4E6-4718-ABD4-67F54D900D0F}">
      <dsp:nvSpPr>
        <dsp:cNvPr id="0" name=""/>
        <dsp:cNvSpPr/>
      </dsp:nvSpPr>
      <dsp:spPr>
        <a:xfrm>
          <a:off x="3457633" y="916377"/>
          <a:ext cx="205490" cy="5673983"/>
        </a:xfrm>
        <a:custGeom>
          <a:avLst/>
          <a:gdLst/>
          <a:ahLst/>
          <a:cxnLst/>
          <a:rect l="0" t="0" r="0" b="0"/>
          <a:pathLst>
            <a:path>
              <a:moveTo>
                <a:pt x="0" y="0"/>
              </a:moveTo>
              <a:lnTo>
                <a:pt x="0" y="5673983"/>
              </a:lnTo>
              <a:lnTo>
                <a:pt x="205490" y="567398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B5755-0886-410B-BF73-E8C0B841A08D}">
      <dsp:nvSpPr>
        <dsp:cNvPr id="0" name=""/>
        <dsp:cNvSpPr/>
      </dsp:nvSpPr>
      <dsp:spPr>
        <a:xfrm>
          <a:off x="3663123" y="6185076"/>
          <a:ext cx="2845175" cy="81056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s-419" sz="900" kern="1200"/>
            <a:t>Los flujos de ingresos cotejados en el Cuarto Informe EITI-RD alcanzaron un 95% y 98% del total de los flujos de ingresos cuantificados por la CNEITI-RD, al 2019 y 2020, respectivamente.</a:t>
          </a:r>
          <a:endParaRPr lang="en-US" sz="900" kern="1200"/>
        </a:p>
      </dsp:txBody>
      <dsp:txXfrm>
        <a:off x="3686864" y="6208817"/>
        <a:ext cx="2797693" cy="7630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docProps/app.xml><?xml version="1.0" encoding="utf-8"?>
<Properties xmlns="http://schemas.openxmlformats.org/officeDocument/2006/extended-properties" xmlns:vt="http://schemas.openxmlformats.org/officeDocument/2006/docPropsVTypes">
  <Template>Del_Proposal template US.dotx</Template>
  <TotalTime>0</TotalTime>
  <Pages>6</Pages>
  <Words>667</Words>
  <Characters>3673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Proposal_US</vt:lpstr>
      <vt:lpstr>Proposal_US</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Proposal_US</dc:title>
  <dc:subject/>
  <dc:creator>Contero, Vanessa (LATCO - Quito)</dc:creator>
  <cp:keywords/>
  <dc:description/>
  <cp:lastModifiedBy>Adrián Acosta Ramírez</cp:lastModifiedBy>
  <cp:revision>2</cp:revision>
  <cp:lastPrinted>2022-02-16T03:36:00Z</cp:lastPrinted>
  <dcterms:created xsi:type="dcterms:W3CDTF">2022-03-15T19:48:00Z</dcterms:created>
  <dcterms:modified xsi:type="dcterms:W3CDTF">2022-03-15T19:48:00Z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0x01010081B51ABC6BF13843850168A551BEA54C</vt:lpwstr>
  </property>
  <property fmtid="{D5CDD505-2E9C-101B-9397-08002B2CF9AE}" pid="3" name="MSIP_Label_ea60d57e-af5b-4752-ac57-3e4f28ca11dc_Enabled">
    <vt:lpwstr>true</vt:lpwstr>
  </property>
  <property fmtid="{D5CDD505-2E9C-101B-9397-08002B2CF9AE}" pid="4" name="MSIP_Label_ea60d57e-af5b-4752-ac57-3e4f28ca11dc_SetDate">
    <vt:lpwstr>2022-01-17T00:40:12Z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3e989a20-7ce5-4201-b5a2-a4219eb31f91</vt:lpwstr>
  </property>
  <property fmtid="{D5CDD505-2E9C-101B-9397-08002B2CF9AE}" pid="9" name="MSIP_Label_ea60d57e-af5b-4752-ac57-3e4f28ca11dc_ContentBits">
    <vt:lpwstr>0</vt:lpwstr>
  </property>
</Properties>
</file>